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B7" w:rsidRDefault="00F95DB7" w:rsidP="005B4B39">
      <w:pPr>
        <w:pStyle w:val="Title"/>
        <w:jc w:val="left"/>
      </w:pPr>
    </w:p>
    <w:p w:rsidR="00F95DB7" w:rsidRDefault="00F95DB7" w:rsidP="005B4B39">
      <w:pPr>
        <w:pStyle w:val="Title"/>
        <w:jc w:val="left"/>
      </w:pPr>
    </w:p>
    <w:p w:rsidR="00F95DB7" w:rsidRDefault="00F95DB7" w:rsidP="005B4B39">
      <w:pPr>
        <w:pStyle w:val="Title"/>
        <w:jc w:val="left"/>
      </w:pPr>
    </w:p>
    <w:p w:rsidR="00F95DB7" w:rsidRDefault="00F95DB7" w:rsidP="005B4B39">
      <w:pPr>
        <w:pStyle w:val="Title"/>
        <w:jc w:val="left"/>
      </w:pPr>
      <w:bookmarkStart w:id="0" w:name="_GoBack"/>
      <w:bookmarkEnd w:id="0"/>
    </w:p>
    <w:p w:rsidR="00F95DB7" w:rsidRDefault="00F95DB7" w:rsidP="005B4B39">
      <w:pPr>
        <w:pStyle w:val="Title"/>
        <w:jc w:val="left"/>
      </w:pPr>
    </w:p>
    <w:p w:rsidR="00F95DB7" w:rsidRDefault="00F95DB7" w:rsidP="005B4B39">
      <w:pPr>
        <w:pStyle w:val="Title"/>
        <w:jc w:val="left"/>
      </w:pPr>
    </w:p>
    <w:p w:rsidR="00F95DB7" w:rsidRDefault="00F95DB7" w:rsidP="005B4B39">
      <w:pPr>
        <w:pStyle w:val="Title"/>
        <w:jc w:val="left"/>
      </w:pPr>
    </w:p>
    <w:p w:rsidR="000A2A5D" w:rsidRDefault="000A2A5D" w:rsidP="005B4B39">
      <w:pPr>
        <w:pStyle w:val="Title"/>
        <w:jc w:val="left"/>
      </w:pPr>
    </w:p>
    <w:p w:rsidR="000A2A5D" w:rsidRDefault="000A2A5D" w:rsidP="005B4B39">
      <w:pPr>
        <w:pStyle w:val="Title"/>
        <w:jc w:val="left"/>
      </w:pPr>
    </w:p>
    <w:p w:rsidR="000A2A5D" w:rsidRDefault="000A2A5D" w:rsidP="005B4B39">
      <w:pPr>
        <w:pStyle w:val="Title"/>
        <w:jc w:val="left"/>
      </w:pPr>
    </w:p>
    <w:p w:rsidR="00EF7F15" w:rsidRPr="005B4B39" w:rsidRDefault="005B4B39" w:rsidP="005B4B39">
      <w:pPr>
        <w:pStyle w:val="Title"/>
        <w:jc w:val="left"/>
      </w:pPr>
      <w:r w:rsidRPr="005B4B39">
        <w:t>Mobilidade Profissional e a Internacionalização do Emprego Jovem</w:t>
      </w:r>
    </w:p>
    <w:p w:rsidR="005B4B39" w:rsidRPr="00F95DB7" w:rsidRDefault="005B4B39" w:rsidP="005B4B39">
      <w:pPr>
        <w:spacing w:after="0" w:line="240" w:lineRule="auto"/>
        <w:jc w:val="both"/>
        <w:rPr>
          <w:rFonts w:ascii="National Bold" w:hAnsi="National Bold"/>
          <w:b/>
          <w:sz w:val="28"/>
        </w:rPr>
      </w:pPr>
      <w:r w:rsidRPr="00F95DB7">
        <w:rPr>
          <w:rFonts w:ascii="National Bold" w:hAnsi="National Bold"/>
          <w:b/>
          <w:sz w:val="28"/>
        </w:rPr>
        <w:t>Relatório sobre os resultados do Inquérito de Mobilidade Profissional</w:t>
      </w:r>
    </w:p>
    <w:p w:rsidR="005B4B39" w:rsidRPr="00F95DB7" w:rsidRDefault="004D608F" w:rsidP="005B4B39">
      <w:pPr>
        <w:spacing w:after="0" w:line="240" w:lineRule="auto"/>
        <w:jc w:val="both"/>
        <w:rPr>
          <w:sz w:val="28"/>
        </w:rPr>
      </w:pPr>
      <w:r>
        <w:rPr>
          <w:sz w:val="28"/>
        </w:rPr>
        <w:t>A</w:t>
      </w:r>
      <w:r w:rsidR="005B4B39" w:rsidRPr="00F95DB7">
        <w:rPr>
          <w:sz w:val="28"/>
        </w:rPr>
        <w:t>gosto de 2012</w:t>
      </w:r>
    </w:p>
    <w:p w:rsidR="005B4B39" w:rsidRDefault="005B4B39" w:rsidP="005B4B39">
      <w:pPr>
        <w:jc w:val="both"/>
      </w:pPr>
    </w:p>
    <w:p w:rsidR="00F95DB7" w:rsidRDefault="00F95DB7">
      <w:r>
        <w:br w:type="page"/>
      </w:r>
    </w:p>
    <w:bookmarkStart w:id="1" w:name="_Toc332381761" w:displacedByCustomXml="next"/>
    <w:sdt>
      <w:sdtPr>
        <w:rPr>
          <w:rFonts w:ascii="National Regular" w:eastAsiaTheme="minorHAnsi" w:hAnsi="National Regular" w:cstheme="minorBidi"/>
          <w:b w:val="0"/>
          <w:bCs w:val="0"/>
          <w:sz w:val="22"/>
          <w:szCs w:val="22"/>
        </w:rPr>
        <w:id w:val="-114889463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B4B39" w:rsidRPr="005B4B39" w:rsidRDefault="005B4B39" w:rsidP="005B4B39">
          <w:pPr>
            <w:pStyle w:val="Heading1"/>
            <w:jc w:val="left"/>
            <w:rPr>
              <w:rStyle w:val="Heading1Char"/>
              <w:lang w:val="en-US" w:eastAsia="pt-PT"/>
            </w:rPr>
          </w:pPr>
          <w:r w:rsidRPr="00827166">
            <w:rPr>
              <w:rStyle w:val="Heading1Char"/>
            </w:rPr>
            <w:t>Índice</w:t>
          </w:r>
          <w:bookmarkEnd w:id="1"/>
        </w:p>
        <w:p w:rsidR="000A2A5D" w:rsidRDefault="005B4B39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2381761" w:history="1">
            <w:r w:rsidR="000A2A5D" w:rsidRPr="00731543">
              <w:rPr>
                <w:rStyle w:val="Hyperlink"/>
                <w:noProof/>
              </w:rPr>
              <w:t>Índice</w:t>
            </w:r>
            <w:r w:rsidR="000A2A5D">
              <w:rPr>
                <w:noProof/>
                <w:webHidden/>
              </w:rPr>
              <w:tab/>
            </w:r>
            <w:r w:rsidR="000A2A5D">
              <w:rPr>
                <w:noProof/>
                <w:webHidden/>
              </w:rPr>
              <w:fldChar w:fldCharType="begin"/>
            </w:r>
            <w:r w:rsidR="000A2A5D">
              <w:rPr>
                <w:noProof/>
                <w:webHidden/>
              </w:rPr>
              <w:instrText xml:space="preserve"> PAGEREF _Toc332381761 \h </w:instrText>
            </w:r>
            <w:r w:rsidR="000A2A5D">
              <w:rPr>
                <w:noProof/>
                <w:webHidden/>
              </w:rPr>
            </w:r>
            <w:r w:rsidR="000A2A5D">
              <w:rPr>
                <w:noProof/>
                <w:webHidden/>
              </w:rPr>
              <w:fldChar w:fldCharType="separate"/>
            </w:r>
            <w:r w:rsidR="000A2A5D">
              <w:rPr>
                <w:noProof/>
                <w:webHidden/>
              </w:rPr>
              <w:t>2</w:t>
            </w:r>
            <w:r w:rsidR="000A2A5D">
              <w:rPr>
                <w:noProof/>
                <w:webHidden/>
              </w:rPr>
              <w:fldChar w:fldCharType="end"/>
            </w:r>
          </w:hyperlink>
        </w:p>
        <w:p w:rsidR="000A2A5D" w:rsidRDefault="004E520F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332381762" w:history="1">
            <w:r w:rsidR="000A2A5D" w:rsidRPr="00731543">
              <w:rPr>
                <w:rStyle w:val="Hyperlink"/>
                <w:rFonts w:eastAsia="Times New Roman"/>
                <w:noProof/>
                <w:lang w:eastAsia="pt-PT"/>
              </w:rPr>
              <w:t>Introdução</w:t>
            </w:r>
            <w:r w:rsidR="000A2A5D">
              <w:rPr>
                <w:noProof/>
                <w:webHidden/>
              </w:rPr>
              <w:tab/>
            </w:r>
            <w:r w:rsidR="000A2A5D">
              <w:rPr>
                <w:noProof/>
                <w:webHidden/>
              </w:rPr>
              <w:fldChar w:fldCharType="begin"/>
            </w:r>
            <w:r w:rsidR="000A2A5D">
              <w:rPr>
                <w:noProof/>
                <w:webHidden/>
              </w:rPr>
              <w:instrText xml:space="preserve"> PAGEREF _Toc332381762 \h </w:instrText>
            </w:r>
            <w:r w:rsidR="000A2A5D">
              <w:rPr>
                <w:noProof/>
                <w:webHidden/>
              </w:rPr>
            </w:r>
            <w:r w:rsidR="000A2A5D">
              <w:rPr>
                <w:noProof/>
                <w:webHidden/>
              </w:rPr>
              <w:fldChar w:fldCharType="separate"/>
            </w:r>
            <w:r w:rsidR="000A2A5D">
              <w:rPr>
                <w:noProof/>
                <w:webHidden/>
              </w:rPr>
              <w:t>3</w:t>
            </w:r>
            <w:r w:rsidR="000A2A5D">
              <w:rPr>
                <w:noProof/>
                <w:webHidden/>
              </w:rPr>
              <w:fldChar w:fldCharType="end"/>
            </w:r>
          </w:hyperlink>
        </w:p>
        <w:p w:rsidR="000A2A5D" w:rsidRDefault="004E520F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332381763" w:history="1">
            <w:r w:rsidR="000A2A5D" w:rsidRPr="00731543">
              <w:rPr>
                <w:rStyle w:val="Hyperlink"/>
                <w:rFonts w:eastAsia="Times New Roman"/>
                <w:noProof/>
                <w:lang w:eastAsia="pt-PT"/>
              </w:rPr>
              <w:t>Apresentação e Discussão dos Resultados</w:t>
            </w:r>
            <w:r w:rsidR="000A2A5D">
              <w:rPr>
                <w:noProof/>
                <w:webHidden/>
              </w:rPr>
              <w:tab/>
            </w:r>
            <w:r w:rsidR="000A2A5D">
              <w:rPr>
                <w:noProof/>
                <w:webHidden/>
              </w:rPr>
              <w:fldChar w:fldCharType="begin"/>
            </w:r>
            <w:r w:rsidR="000A2A5D">
              <w:rPr>
                <w:noProof/>
                <w:webHidden/>
              </w:rPr>
              <w:instrText xml:space="preserve"> PAGEREF _Toc332381763 \h </w:instrText>
            </w:r>
            <w:r w:rsidR="000A2A5D">
              <w:rPr>
                <w:noProof/>
                <w:webHidden/>
              </w:rPr>
            </w:r>
            <w:r w:rsidR="000A2A5D">
              <w:rPr>
                <w:noProof/>
                <w:webHidden/>
              </w:rPr>
              <w:fldChar w:fldCharType="separate"/>
            </w:r>
            <w:r w:rsidR="000A2A5D">
              <w:rPr>
                <w:noProof/>
                <w:webHidden/>
              </w:rPr>
              <w:t>5</w:t>
            </w:r>
            <w:r w:rsidR="000A2A5D">
              <w:rPr>
                <w:noProof/>
                <w:webHidden/>
              </w:rPr>
              <w:fldChar w:fldCharType="end"/>
            </w:r>
          </w:hyperlink>
        </w:p>
        <w:p w:rsidR="000A2A5D" w:rsidRDefault="004E520F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332381764" w:history="1">
            <w:r w:rsidR="000A2A5D" w:rsidRPr="00731543">
              <w:rPr>
                <w:rStyle w:val="Hyperlink"/>
                <w:noProof/>
              </w:rPr>
              <w:t>Caracterização da amonstra</w:t>
            </w:r>
            <w:r w:rsidR="000A2A5D">
              <w:rPr>
                <w:noProof/>
                <w:webHidden/>
              </w:rPr>
              <w:tab/>
            </w:r>
            <w:r w:rsidR="000A2A5D">
              <w:rPr>
                <w:noProof/>
                <w:webHidden/>
              </w:rPr>
              <w:fldChar w:fldCharType="begin"/>
            </w:r>
            <w:r w:rsidR="000A2A5D">
              <w:rPr>
                <w:noProof/>
                <w:webHidden/>
              </w:rPr>
              <w:instrText xml:space="preserve"> PAGEREF _Toc332381764 \h </w:instrText>
            </w:r>
            <w:r w:rsidR="000A2A5D">
              <w:rPr>
                <w:noProof/>
                <w:webHidden/>
              </w:rPr>
            </w:r>
            <w:r w:rsidR="000A2A5D">
              <w:rPr>
                <w:noProof/>
                <w:webHidden/>
              </w:rPr>
              <w:fldChar w:fldCharType="separate"/>
            </w:r>
            <w:r w:rsidR="000A2A5D">
              <w:rPr>
                <w:noProof/>
                <w:webHidden/>
              </w:rPr>
              <w:t>5</w:t>
            </w:r>
            <w:r w:rsidR="000A2A5D">
              <w:rPr>
                <w:noProof/>
                <w:webHidden/>
              </w:rPr>
              <w:fldChar w:fldCharType="end"/>
            </w:r>
          </w:hyperlink>
        </w:p>
        <w:p w:rsidR="000A2A5D" w:rsidRDefault="004E520F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332381765" w:history="1">
            <w:r w:rsidR="000A2A5D" w:rsidRPr="00731543">
              <w:rPr>
                <w:rStyle w:val="Hyperlink"/>
                <w:noProof/>
              </w:rPr>
              <w:t>Resultados: Realização de Mobilidade Internacional</w:t>
            </w:r>
            <w:r w:rsidR="000A2A5D">
              <w:rPr>
                <w:noProof/>
                <w:webHidden/>
              </w:rPr>
              <w:tab/>
            </w:r>
            <w:r w:rsidR="000A2A5D">
              <w:rPr>
                <w:noProof/>
                <w:webHidden/>
              </w:rPr>
              <w:fldChar w:fldCharType="begin"/>
            </w:r>
            <w:r w:rsidR="000A2A5D">
              <w:rPr>
                <w:noProof/>
                <w:webHidden/>
              </w:rPr>
              <w:instrText xml:space="preserve"> PAGEREF _Toc332381765 \h </w:instrText>
            </w:r>
            <w:r w:rsidR="000A2A5D">
              <w:rPr>
                <w:noProof/>
                <w:webHidden/>
              </w:rPr>
            </w:r>
            <w:r w:rsidR="000A2A5D">
              <w:rPr>
                <w:noProof/>
                <w:webHidden/>
              </w:rPr>
              <w:fldChar w:fldCharType="separate"/>
            </w:r>
            <w:r w:rsidR="000A2A5D">
              <w:rPr>
                <w:noProof/>
                <w:webHidden/>
              </w:rPr>
              <w:t>8</w:t>
            </w:r>
            <w:r w:rsidR="000A2A5D">
              <w:rPr>
                <w:noProof/>
                <w:webHidden/>
              </w:rPr>
              <w:fldChar w:fldCharType="end"/>
            </w:r>
          </w:hyperlink>
        </w:p>
        <w:p w:rsidR="000A2A5D" w:rsidRDefault="004E520F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332381766" w:history="1">
            <w:r w:rsidR="000A2A5D" w:rsidRPr="00731543">
              <w:rPr>
                <w:rStyle w:val="Hyperlink"/>
                <w:noProof/>
              </w:rPr>
              <w:t>Resultados: Intenções em emigrar</w:t>
            </w:r>
            <w:r w:rsidR="000A2A5D">
              <w:rPr>
                <w:noProof/>
                <w:webHidden/>
              </w:rPr>
              <w:tab/>
            </w:r>
            <w:r w:rsidR="000A2A5D">
              <w:rPr>
                <w:noProof/>
                <w:webHidden/>
              </w:rPr>
              <w:fldChar w:fldCharType="begin"/>
            </w:r>
            <w:r w:rsidR="000A2A5D">
              <w:rPr>
                <w:noProof/>
                <w:webHidden/>
              </w:rPr>
              <w:instrText xml:space="preserve"> PAGEREF _Toc332381766 \h </w:instrText>
            </w:r>
            <w:r w:rsidR="000A2A5D">
              <w:rPr>
                <w:noProof/>
                <w:webHidden/>
              </w:rPr>
            </w:r>
            <w:r w:rsidR="000A2A5D">
              <w:rPr>
                <w:noProof/>
                <w:webHidden/>
              </w:rPr>
              <w:fldChar w:fldCharType="separate"/>
            </w:r>
            <w:r w:rsidR="000A2A5D">
              <w:rPr>
                <w:noProof/>
                <w:webHidden/>
              </w:rPr>
              <w:t>10</w:t>
            </w:r>
            <w:r w:rsidR="000A2A5D">
              <w:rPr>
                <w:noProof/>
                <w:webHidden/>
              </w:rPr>
              <w:fldChar w:fldCharType="end"/>
            </w:r>
          </w:hyperlink>
        </w:p>
        <w:p w:rsidR="000A2A5D" w:rsidRDefault="004E520F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332381767" w:history="1">
            <w:r w:rsidR="000A2A5D" w:rsidRPr="00731543">
              <w:rPr>
                <w:rStyle w:val="Hyperlink"/>
                <w:noProof/>
              </w:rPr>
              <w:t>Resultados: Mecanismos Informativos</w:t>
            </w:r>
            <w:r w:rsidR="000A2A5D">
              <w:rPr>
                <w:noProof/>
                <w:webHidden/>
              </w:rPr>
              <w:tab/>
            </w:r>
            <w:r w:rsidR="000A2A5D">
              <w:rPr>
                <w:noProof/>
                <w:webHidden/>
              </w:rPr>
              <w:fldChar w:fldCharType="begin"/>
            </w:r>
            <w:r w:rsidR="000A2A5D">
              <w:rPr>
                <w:noProof/>
                <w:webHidden/>
              </w:rPr>
              <w:instrText xml:space="preserve"> PAGEREF _Toc332381767 \h </w:instrText>
            </w:r>
            <w:r w:rsidR="000A2A5D">
              <w:rPr>
                <w:noProof/>
                <w:webHidden/>
              </w:rPr>
            </w:r>
            <w:r w:rsidR="000A2A5D">
              <w:rPr>
                <w:noProof/>
                <w:webHidden/>
              </w:rPr>
              <w:fldChar w:fldCharType="separate"/>
            </w:r>
            <w:r w:rsidR="000A2A5D">
              <w:rPr>
                <w:noProof/>
                <w:webHidden/>
              </w:rPr>
              <w:t>13</w:t>
            </w:r>
            <w:r w:rsidR="000A2A5D">
              <w:rPr>
                <w:noProof/>
                <w:webHidden/>
              </w:rPr>
              <w:fldChar w:fldCharType="end"/>
            </w:r>
          </w:hyperlink>
        </w:p>
        <w:p w:rsidR="000A2A5D" w:rsidRDefault="004E520F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332381768" w:history="1">
            <w:r w:rsidR="000A2A5D" w:rsidRPr="00731543">
              <w:rPr>
                <w:rStyle w:val="Hyperlink"/>
                <w:noProof/>
              </w:rPr>
              <w:t>Resultados: Cruzamento de Variáveis</w:t>
            </w:r>
            <w:r w:rsidR="000A2A5D">
              <w:rPr>
                <w:noProof/>
                <w:webHidden/>
              </w:rPr>
              <w:tab/>
            </w:r>
            <w:r w:rsidR="000A2A5D">
              <w:rPr>
                <w:noProof/>
                <w:webHidden/>
              </w:rPr>
              <w:fldChar w:fldCharType="begin"/>
            </w:r>
            <w:r w:rsidR="000A2A5D">
              <w:rPr>
                <w:noProof/>
                <w:webHidden/>
              </w:rPr>
              <w:instrText xml:space="preserve"> PAGEREF _Toc332381768 \h </w:instrText>
            </w:r>
            <w:r w:rsidR="000A2A5D">
              <w:rPr>
                <w:noProof/>
                <w:webHidden/>
              </w:rPr>
            </w:r>
            <w:r w:rsidR="000A2A5D">
              <w:rPr>
                <w:noProof/>
                <w:webHidden/>
              </w:rPr>
              <w:fldChar w:fldCharType="separate"/>
            </w:r>
            <w:r w:rsidR="000A2A5D">
              <w:rPr>
                <w:noProof/>
                <w:webHidden/>
              </w:rPr>
              <w:t>13</w:t>
            </w:r>
            <w:r w:rsidR="000A2A5D">
              <w:rPr>
                <w:noProof/>
                <w:webHidden/>
              </w:rPr>
              <w:fldChar w:fldCharType="end"/>
            </w:r>
          </w:hyperlink>
        </w:p>
        <w:p w:rsidR="000A2A5D" w:rsidRDefault="004E520F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332381769" w:history="1">
            <w:r w:rsidR="000A2A5D" w:rsidRPr="00731543">
              <w:rPr>
                <w:rStyle w:val="Hyperlink"/>
                <w:noProof/>
              </w:rPr>
              <w:t>Conclusões e Considerações Finais</w:t>
            </w:r>
            <w:r w:rsidR="000A2A5D">
              <w:rPr>
                <w:noProof/>
                <w:webHidden/>
              </w:rPr>
              <w:tab/>
            </w:r>
            <w:r w:rsidR="000A2A5D">
              <w:rPr>
                <w:noProof/>
                <w:webHidden/>
              </w:rPr>
              <w:fldChar w:fldCharType="begin"/>
            </w:r>
            <w:r w:rsidR="000A2A5D">
              <w:rPr>
                <w:noProof/>
                <w:webHidden/>
              </w:rPr>
              <w:instrText xml:space="preserve"> PAGEREF _Toc332381769 \h </w:instrText>
            </w:r>
            <w:r w:rsidR="000A2A5D">
              <w:rPr>
                <w:noProof/>
                <w:webHidden/>
              </w:rPr>
            </w:r>
            <w:r w:rsidR="000A2A5D">
              <w:rPr>
                <w:noProof/>
                <w:webHidden/>
              </w:rPr>
              <w:fldChar w:fldCharType="separate"/>
            </w:r>
            <w:r w:rsidR="000A2A5D">
              <w:rPr>
                <w:noProof/>
                <w:webHidden/>
              </w:rPr>
              <w:t>25</w:t>
            </w:r>
            <w:r w:rsidR="000A2A5D">
              <w:rPr>
                <w:noProof/>
                <w:webHidden/>
              </w:rPr>
              <w:fldChar w:fldCharType="end"/>
            </w:r>
          </w:hyperlink>
        </w:p>
        <w:p w:rsidR="005B4B39" w:rsidRDefault="005B4B39" w:rsidP="005B4B39">
          <w:pPr>
            <w:pStyle w:val="ndice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5B4B39" w:rsidRDefault="005B4B39">
      <w:pPr>
        <w:rPr>
          <w:rFonts w:ascii="National Extrabold" w:eastAsia="Times New Roman" w:hAnsi="National Extrabold" w:cstheme="majorBidi"/>
          <w:b/>
          <w:bCs/>
          <w:sz w:val="24"/>
          <w:szCs w:val="26"/>
          <w:lang w:eastAsia="pt-PT"/>
        </w:rPr>
      </w:pPr>
      <w:r>
        <w:rPr>
          <w:rFonts w:eastAsia="Times New Roman"/>
          <w:lang w:eastAsia="pt-PT"/>
        </w:rPr>
        <w:br w:type="page"/>
      </w:r>
    </w:p>
    <w:p w:rsidR="00EF7F15" w:rsidRPr="00DD5A44" w:rsidRDefault="00EF7F15" w:rsidP="005B4B39">
      <w:pPr>
        <w:pStyle w:val="Heading1"/>
        <w:jc w:val="left"/>
        <w:rPr>
          <w:rFonts w:eastAsia="Times New Roman"/>
          <w:lang w:eastAsia="pt-PT"/>
        </w:rPr>
      </w:pPr>
      <w:bookmarkStart w:id="2" w:name="_Toc332381762"/>
      <w:r w:rsidRPr="00DD5A44">
        <w:rPr>
          <w:rFonts w:eastAsia="Times New Roman"/>
          <w:lang w:eastAsia="pt-PT"/>
        </w:rPr>
        <w:lastRenderedPageBreak/>
        <w:t>Introdução</w:t>
      </w:r>
      <w:bookmarkEnd w:id="2"/>
    </w:p>
    <w:p w:rsidR="00EF7F15" w:rsidRPr="00DD5A44" w:rsidRDefault="00EF7F15" w:rsidP="00EF7F15">
      <w:pPr>
        <w:spacing w:after="0"/>
        <w:rPr>
          <w:rFonts w:eastAsia="Times New Roman" w:cstheme="minorHAnsi"/>
          <w:color w:val="222222"/>
          <w:sz w:val="24"/>
          <w:szCs w:val="20"/>
          <w:lang w:eastAsia="pt-PT"/>
        </w:rPr>
      </w:pPr>
    </w:p>
    <w:p w:rsidR="007C78A0" w:rsidRPr="007C78A0" w:rsidRDefault="00EF7F15" w:rsidP="007C78A0">
      <w:pPr>
        <w:spacing w:line="360" w:lineRule="auto"/>
        <w:jc w:val="both"/>
        <w:rPr>
          <w:lang w:eastAsia="pt-PT"/>
        </w:rPr>
      </w:pPr>
      <w:r w:rsidRPr="000005DA">
        <w:rPr>
          <w:lang w:eastAsia="pt-PT"/>
        </w:rPr>
        <w:t xml:space="preserve">Algumas Associações Académicas e de Estudantes realizaram, no dia 29 de abril de 2012, uma reunião de trabalho </w:t>
      </w:r>
      <w:r w:rsidR="009329A0">
        <w:rPr>
          <w:lang w:eastAsia="pt-PT"/>
        </w:rPr>
        <w:t xml:space="preserve">destinada a discutir a temática do </w:t>
      </w:r>
      <w:r w:rsidRPr="000005DA">
        <w:rPr>
          <w:lang w:eastAsia="pt-PT"/>
        </w:rPr>
        <w:t>emprego jovem, da qual resultaram algumas decisões conjuntas, entre as quais a realização de um questionário replicável e livre a todas as associações interessadas em cooperar</w:t>
      </w:r>
      <w:r w:rsidR="00CA17D1">
        <w:rPr>
          <w:lang w:eastAsia="pt-PT"/>
        </w:rPr>
        <w:t>,</w:t>
      </w:r>
      <w:r w:rsidR="009329A0">
        <w:rPr>
          <w:lang w:eastAsia="pt-PT"/>
        </w:rPr>
        <w:t xml:space="preserve"> relacionado especificamente com o</w:t>
      </w:r>
      <w:r w:rsidR="00F95DB7">
        <w:rPr>
          <w:lang w:eastAsia="pt-PT"/>
        </w:rPr>
        <w:t>s</w:t>
      </w:r>
      <w:r w:rsidR="009329A0">
        <w:rPr>
          <w:lang w:eastAsia="pt-PT"/>
        </w:rPr>
        <w:t xml:space="preserve"> segmento</w:t>
      </w:r>
      <w:r w:rsidR="00F95DB7">
        <w:rPr>
          <w:lang w:eastAsia="pt-PT"/>
        </w:rPr>
        <w:t>s</w:t>
      </w:r>
      <w:r w:rsidR="009329A0">
        <w:rPr>
          <w:lang w:eastAsia="pt-PT"/>
        </w:rPr>
        <w:t xml:space="preserve"> </w:t>
      </w:r>
      <w:r w:rsidRPr="000005DA">
        <w:rPr>
          <w:lang w:eastAsia="pt-PT"/>
        </w:rPr>
        <w:t>da Mobilidade Profissional</w:t>
      </w:r>
      <w:r w:rsidR="00F95DB7">
        <w:rPr>
          <w:lang w:eastAsia="pt-PT"/>
        </w:rPr>
        <w:t xml:space="preserve"> e da Internacionalização do Emprego Jovem</w:t>
      </w:r>
      <w:r w:rsidR="007C78A0">
        <w:rPr>
          <w:lang w:eastAsia="pt-PT"/>
        </w:rPr>
        <w:t xml:space="preserve"> e, ainda, a realização de ciclos de conferências, formações e debates quanto aos</w:t>
      </w:r>
      <w:r w:rsidR="007C78A0" w:rsidRPr="007C78A0">
        <w:rPr>
          <w:lang w:eastAsia="pt-PT"/>
        </w:rPr>
        <w:t xml:space="preserve"> prisma</w:t>
      </w:r>
      <w:r w:rsidR="007C78A0">
        <w:rPr>
          <w:lang w:eastAsia="pt-PT"/>
        </w:rPr>
        <w:t>s</w:t>
      </w:r>
      <w:r w:rsidR="007C78A0" w:rsidRPr="007C78A0">
        <w:rPr>
          <w:lang w:eastAsia="pt-PT"/>
        </w:rPr>
        <w:t xml:space="preserve"> político, jurídico-legal, socioeconomico e financeiro. </w:t>
      </w:r>
      <w:r w:rsidR="007C78A0">
        <w:rPr>
          <w:lang w:eastAsia="pt-PT"/>
        </w:rPr>
        <w:t>Nestes prismas, p</w:t>
      </w:r>
      <w:r w:rsidR="007C78A0" w:rsidRPr="007C78A0">
        <w:rPr>
          <w:lang w:eastAsia="pt-PT"/>
        </w:rPr>
        <w:t>ara lá das iniciativas desenvolvidas localmente, as associações académicas e de estudantes, colaborativamente, já realizaram durante os últimos três meses, várias iniciativas de cariz nacional:</w:t>
      </w:r>
    </w:p>
    <w:p w:rsidR="007C78A0" w:rsidRPr="007C78A0" w:rsidRDefault="007C78A0" w:rsidP="007C78A0">
      <w:pPr>
        <w:pStyle w:val="ListParagraph"/>
        <w:numPr>
          <w:ilvl w:val="0"/>
          <w:numId w:val="1"/>
        </w:numPr>
        <w:spacing w:line="360" w:lineRule="auto"/>
        <w:jc w:val="both"/>
        <w:rPr>
          <w:lang w:eastAsia="pt-PT"/>
        </w:rPr>
      </w:pPr>
      <w:r w:rsidRPr="007C78A0">
        <w:rPr>
          <w:lang w:eastAsia="pt-PT"/>
        </w:rPr>
        <w:t>Dia 1 de junho, em Lisboa: Formação "Impacto das Políticas Fiscais e Contributivas na Criação de Emprego Jovem", com a presença do Prof. Doutor Braga de Macedo e do Dr. Miguel Frasquilho.</w:t>
      </w:r>
    </w:p>
    <w:p w:rsidR="007C78A0" w:rsidRPr="007C78A0" w:rsidRDefault="007C78A0" w:rsidP="007C78A0">
      <w:pPr>
        <w:pStyle w:val="ListParagraph"/>
        <w:numPr>
          <w:ilvl w:val="0"/>
          <w:numId w:val="1"/>
        </w:numPr>
        <w:spacing w:line="360" w:lineRule="auto"/>
        <w:jc w:val="both"/>
        <w:rPr>
          <w:lang w:eastAsia="pt-PT"/>
        </w:rPr>
      </w:pPr>
      <w:r w:rsidRPr="007C78A0">
        <w:rPr>
          <w:lang w:eastAsia="pt-PT"/>
        </w:rPr>
        <w:t>Dia 1 de junho, em Lisboa: Mesa Redonda "Legislação Laboral", com o Dr. Vieira da Silva e com o Prof. Doutor Manuel Carvalho da Silva.</w:t>
      </w:r>
    </w:p>
    <w:p w:rsidR="007C78A0" w:rsidRPr="007C78A0" w:rsidRDefault="007C78A0" w:rsidP="007C78A0">
      <w:pPr>
        <w:pStyle w:val="ListParagraph"/>
        <w:numPr>
          <w:ilvl w:val="0"/>
          <w:numId w:val="1"/>
        </w:numPr>
        <w:spacing w:line="360" w:lineRule="auto"/>
        <w:jc w:val="both"/>
        <w:rPr>
          <w:lang w:eastAsia="pt-PT"/>
        </w:rPr>
      </w:pPr>
      <w:r w:rsidRPr="007C78A0">
        <w:rPr>
          <w:lang w:eastAsia="pt-PT"/>
        </w:rPr>
        <w:t>Dia 20 de julho, no Porto: Formação “O atual regime fiscal e contributivo e as suas implicâncias ao nível do desemprego jovem”, com o Dr. Albano Santos.</w:t>
      </w:r>
    </w:p>
    <w:p w:rsidR="007C78A0" w:rsidRPr="007C78A0" w:rsidRDefault="007C78A0" w:rsidP="007C78A0">
      <w:pPr>
        <w:pStyle w:val="ListParagraph"/>
        <w:numPr>
          <w:ilvl w:val="0"/>
          <w:numId w:val="1"/>
        </w:numPr>
        <w:spacing w:line="360" w:lineRule="auto"/>
        <w:jc w:val="both"/>
        <w:rPr>
          <w:lang w:eastAsia="pt-PT"/>
        </w:rPr>
      </w:pPr>
      <w:r w:rsidRPr="007C78A0">
        <w:rPr>
          <w:lang w:eastAsia="pt-PT"/>
        </w:rPr>
        <w:t>Dia 20 de julho, no Porto: Mesa Redonda “Políticas de ajustamento orçamental (“austeridade”), desemprego (jovem) e o regime fiscal e contributivo”, com o Prof. Doutor José Castro Caldas e o Prof. Doutor João Duque.</w:t>
      </w:r>
    </w:p>
    <w:p w:rsidR="007C78A0" w:rsidRPr="007C78A0" w:rsidRDefault="007C78A0" w:rsidP="007C78A0">
      <w:pPr>
        <w:pStyle w:val="ListParagraph"/>
        <w:numPr>
          <w:ilvl w:val="0"/>
          <w:numId w:val="1"/>
        </w:numPr>
        <w:spacing w:line="360" w:lineRule="auto"/>
        <w:jc w:val="both"/>
        <w:rPr>
          <w:lang w:eastAsia="pt-PT"/>
        </w:rPr>
      </w:pPr>
      <w:r w:rsidRPr="007C78A0">
        <w:rPr>
          <w:lang w:eastAsia="pt-PT"/>
        </w:rPr>
        <w:t>Dia 20 de julho, no Porto: Debate “O desemprego jovem e o atual regime fiscal e contributivo”, com Michael Seufert, Prof. Doutor Pedro Marinho Falcão, Dr. Manuel António dos Santos, Prof. Doutor Paulo Teixeira de Morais e o Prof. João Dias da Silva.</w:t>
      </w:r>
    </w:p>
    <w:p w:rsidR="007C78A0" w:rsidRPr="007C78A0" w:rsidRDefault="007C78A0" w:rsidP="007C78A0">
      <w:pPr>
        <w:pStyle w:val="ListParagraph"/>
        <w:numPr>
          <w:ilvl w:val="0"/>
          <w:numId w:val="1"/>
        </w:numPr>
        <w:spacing w:line="360" w:lineRule="auto"/>
        <w:jc w:val="both"/>
        <w:rPr>
          <w:lang w:eastAsia="pt-PT"/>
        </w:rPr>
      </w:pPr>
      <w:r w:rsidRPr="007C78A0">
        <w:rPr>
          <w:lang w:eastAsia="pt-PT"/>
        </w:rPr>
        <w:t>Dia 21 de julho, no Porto: Conferência "Direito do Trabalho e as suas implicâncias ao nível do desemprego jovem”, pelo Prof. Doutor António Garcia Pereira.</w:t>
      </w:r>
    </w:p>
    <w:p w:rsidR="007C78A0" w:rsidRPr="007C78A0" w:rsidRDefault="007C78A0" w:rsidP="007C78A0">
      <w:pPr>
        <w:pStyle w:val="ListParagraph"/>
        <w:numPr>
          <w:ilvl w:val="0"/>
          <w:numId w:val="1"/>
        </w:numPr>
        <w:spacing w:line="360" w:lineRule="auto"/>
        <w:jc w:val="both"/>
        <w:rPr>
          <w:lang w:eastAsia="pt-PT"/>
        </w:rPr>
      </w:pPr>
      <w:r w:rsidRPr="007C78A0">
        <w:rPr>
          <w:lang w:eastAsia="pt-PT"/>
        </w:rPr>
        <w:t>Dia 21 de julho, no Porto: Formação “Direito do Trabalho e as suas implicâncias ao nível do desemprego jovem”, pelo Dr. Messias Carvalho.</w:t>
      </w:r>
    </w:p>
    <w:p w:rsidR="007C78A0" w:rsidRPr="007C78A0" w:rsidRDefault="007C78A0" w:rsidP="007C78A0">
      <w:pPr>
        <w:pStyle w:val="ListParagraph"/>
        <w:numPr>
          <w:ilvl w:val="0"/>
          <w:numId w:val="1"/>
        </w:numPr>
        <w:spacing w:line="360" w:lineRule="auto"/>
        <w:jc w:val="both"/>
        <w:rPr>
          <w:lang w:eastAsia="pt-PT"/>
        </w:rPr>
      </w:pPr>
      <w:r w:rsidRPr="007C78A0">
        <w:rPr>
          <w:lang w:eastAsia="pt-PT"/>
        </w:rPr>
        <w:t>Dia 21 de julho, no Porto: Formação “Direito do Trabalho e as suas implicâncias ao nível do desemprego jovem”, pelo Dr. Nuno Sá.</w:t>
      </w:r>
    </w:p>
    <w:p w:rsidR="007C78A0" w:rsidRPr="007C78A0" w:rsidRDefault="007C78A0" w:rsidP="007C78A0">
      <w:pPr>
        <w:pStyle w:val="ListParagraph"/>
        <w:numPr>
          <w:ilvl w:val="0"/>
          <w:numId w:val="1"/>
        </w:numPr>
        <w:spacing w:line="360" w:lineRule="auto"/>
        <w:jc w:val="both"/>
        <w:rPr>
          <w:lang w:eastAsia="pt-PT"/>
        </w:rPr>
      </w:pPr>
      <w:r w:rsidRPr="007C78A0">
        <w:rPr>
          <w:lang w:eastAsia="pt-PT"/>
        </w:rPr>
        <w:t>Dia 21 de julho, no Porto: Debate “A atual legislação laboral e as suas implicâncias ao nível do desemprego jovem”, com as presenças do Eng.º João Vieira Lopes, Dra. Catarina Martins, Dr. Hugo Soares e do Dr. Francisco Mota.</w:t>
      </w:r>
    </w:p>
    <w:p w:rsidR="007C78A0" w:rsidRDefault="007C78A0" w:rsidP="00EF7F15">
      <w:pPr>
        <w:spacing w:line="360" w:lineRule="auto"/>
        <w:jc w:val="both"/>
        <w:rPr>
          <w:lang w:eastAsia="pt-PT"/>
        </w:rPr>
      </w:pPr>
      <w:r>
        <w:rPr>
          <w:lang w:eastAsia="pt-PT"/>
        </w:rPr>
        <w:lastRenderedPageBreak/>
        <w:t>Quanto ao objeto central do relatório agora apresentado, consideramos que n</w:t>
      </w:r>
      <w:r w:rsidR="009329A0">
        <w:rPr>
          <w:lang w:eastAsia="pt-PT"/>
        </w:rPr>
        <w:t>ão obstante a pré-condição implicativa</w:t>
      </w:r>
      <w:r w:rsidR="00EF7F15" w:rsidRPr="000005DA">
        <w:rPr>
          <w:lang w:eastAsia="pt-PT"/>
        </w:rPr>
        <w:t xml:space="preserve">, para as associações presentes, </w:t>
      </w:r>
      <w:r w:rsidR="009329A0">
        <w:rPr>
          <w:lang w:eastAsia="pt-PT"/>
        </w:rPr>
        <w:t>d</w:t>
      </w:r>
      <w:r w:rsidR="00C06554">
        <w:rPr>
          <w:lang w:eastAsia="pt-PT"/>
        </w:rPr>
        <w:t xml:space="preserve">a </w:t>
      </w:r>
      <w:r w:rsidR="009329A0">
        <w:rPr>
          <w:lang w:eastAsia="pt-PT"/>
        </w:rPr>
        <w:t xml:space="preserve">necessária </w:t>
      </w:r>
      <w:r w:rsidR="00C06554">
        <w:rPr>
          <w:lang w:eastAsia="pt-PT"/>
        </w:rPr>
        <w:t>existência de</w:t>
      </w:r>
      <w:r w:rsidR="00EF7F15" w:rsidRPr="000005DA">
        <w:rPr>
          <w:lang w:eastAsia="pt-PT"/>
        </w:rPr>
        <w:t xml:space="preserve"> </w:t>
      </w:r>
      <w:r w:rsidR="009329A0">
        <w:rPr>
          <w:lang w:eastAsia="pt-PT"/>
        </w:rPr>
        <w:t xml:space="preserve">se criarem </w:t>
      </w:r>
      <w:r w:rsidR="00EF7F15" w:rsidRPr="000005DA">
        <w:rPr>
          <w:lang w:eastAsia="pt-PT"/>
        </w:rPr>
        <w:t xml:space="preserve">condições </w:t>
      </w:r>
      <w:r w:rsidR="009329A0">
        <w:rPr>
          <w:lang w:eastAsia="pt-PT"/>
        </w:rPr>
        <w:t xml:space="preserve">– políticas, jurídico-legais, económico-finaceiras, sócio-culturais, tecnológicas e ambientais - </w:t>
      </w:r>
      <w:r w:rsidR="00EF7F15" w:rsidRPr="000005DA">
        <w:rPr>
          <w:lang w:eastAsia="pt-PT"/>
        </w:rPr>
        <w:t>para a promoç</w:t>
      </w:r>
      <w:r w:rsidR="009329A0">
        <w:rPr>
          <w:lang w:eastAsia="pt-PT"/>
        </w:rPr>
        <w:t>ão do emprego jovem em Portugal, existe uma clara necessidade de</w:t>
      </w:r>
      <w:r>
        <w:rPr>
          <w:lang w:eastAsia="pt-PT"/>
        </w:rPr>
        <w:t xml:space="preserve"> mais</w:t>
      </w:r>
      <w:r w:rsidR="009329A0">
        <w:rPr>
          <w:lang w:eastAsia="pt-PT"/>
        </w:rPr>
        <w:t xml:space="preserve"> informação e de</w:t>
      </w:r>
      <w:r>
        <w:rPr>
          <w:lang w:eastAsia="pt-PT"/>
        </w:rPr>
        <w:t xml:space="preserve"> obter um</w:t>
      </w:r>
      <w:r w:rsidR="009329A0">
        <w:rPr>
          <w:lang w:eastAsia="pt-PT"/>
        </w:rPr>
        <w:t xml:space="preserve"> conhecimento mais profundo relativamente a</w:t>
      </w:r>
      <w:r w:rsidR="009329A0" w:rsidRPr="000005DA">
        <w:rPr>
          <w:lang w:eastAsia="pt-PT"/>
        </w:rPr>
        <w:t xml:space="preserve"> fenómeno da internacionalização do emprego jovem e das legítimas expetativas dos estudantes do nosso país</w:t>
      </w:r>
      <w:r w:rsidR="009329A0">
        <w:rPr>
          <w:lang w:eastAsia="pt-PT"/>
        </w:rPr>
        <w:t>.</w:t>
      </w:r>
    </w:p>
    <w:p w:rsidR="00EF7F15" w:rsidRPr="000005DA" w:rsidRDefault="007C78A0" w:rsidP="00EF7F15">
      <w:pPr>
        <w:spacing w:line="360" w:lineRule="auto"/>
        <w:jc w:val="both"/>
        <w:rPr>
          <w:lang w:eastAsia="pt-PT"/>
        </w:rPr>
      </w:pPr>
      <w:r>
        <w:rPr>
          <w:lang w:eastAsia="pt-PT"/>
        </w:rPr>
        <w:t xml:space="preserve">Assim, o questionário desenvolvido e acima </w:t>
      </w:r>
      <w:r w:rsidR="00F95DB7">
        <w:rPr>
          <w:lang w:eastAsia="pt-PT"/>
        </w:rPr>
        <w:t>mencionado</w:t>
      </w:r>
      <w:r>
        <w:rPr>
          <w:lang w:eastAsia="pt-PT"/>
        </w:rPr>
        <w:t xml:space="preserve"> </w:t>
      </w:r>
      <w:r w:rsidR="00EF7F15" w:rsidRPr="000005DA">
        <w:rPr>
          <w:lang w:eastAsia="pt-PT"/>
        </w:rPr>
        <w:t>esteve eletronicamente disponível entre 14 de maio e 16 de junho de 2012, tendo como</w:t>
      </w:r>
      <w:r w:rsidR="00EF7F15" w:rsidRPr="000005DA">
        <w:rPr>
          <w:i/>
          <w:lang w:eastAsia="pt-PT"/>
        </w:rPr>
        <w:t xml:space="preserve"> target</w:t>
      </w:r>
      <w:r w:rsidR="00EF7F15" w:rsidRPr="000005DA">
        <w:rPr>
          <w:lang w:eastAsia="pt-PT"/>
        </w:rPr>
        <w:t xml:space="preserve"> os estudantes do ensino superior. Apresentam-se de</w:t>
      </w:r>
      <w:r w:rsidR="00B54E79" w:rsidRPr="000005DA">
        <w:rPr>
          <w:lang w:eastAsia="pt-PT"/>
        </w:rPr>
        <w:t xml:space="preserve"> seguida os resultados do mesmo, reservando-se, na parte final, espaço para algumas </w:t>
      </w:r>
      <w:r w:rsidR="00F95DB7">
        <w:rPr>
          <w:lang w:eastAsia="pt-PT"/>
        </w:rPr>
        <w:t xml:space="preserve">conclusões e </w:t>
      </w:r>
      <w:r w:rsidR="00B54E79" w:rsidRPr="000005DA">
        <w:rPr>
          <w:lang w:eastAsia="pt-PT"/>
        </w:rPr>
        <w:t>considerações daí advindas.</w:t>
      </w:r>
    </w:p>
    <w:p w:rsidR="00EF7F15" w:rsidRPr="00F95DB7" w:rsidRDefault="00F95DB7" w:rsidP="00F95DB7">
      <w:pPr>
        <w:rPr>
          <w:lang w:eastAsia="pt-PT"/>
        </w:rPr>
      </w:pPr>
      <w:r w:rsidRPr="00F95DB7">
        <w:rPr>
          <w:lang w:eastAsia="pt-PT"/>
        </w:rPr>
        <w:t>Este relatório</w:t>
      </w:r>
      <w:r>
        <w:rPr>
          <w:lang w:eastAsia="pt-PT"/>
        </w:rPr>
        <w:t xml:space="preserve"> foi discutido no Encontro Nacional de </w:t>
      </w:r>
      <w:r w:rsidR="00B22C91">
        <w:rPr>
          <w:lang w:eastAsia="pt-PT"/>
        </w:rPr>
        <w:t>Académicas</w:t>
      </w:r>
      <w:r>
        <w:rPr>
          <w:lang w:eastAsia="pt-PT"/>
        </w:rPr>
        <w:t xml:space="preserve"> da UTAD de 12 de agosto de 2012.</w:t>
      </w:r>
    </w:p>
    <w:p w:rsidR="00EF7F15" w:rsidRPr="000005DA" w:rsidRDefault="00EF7F15" w:rsidP="00EF7F15">
      <w:pPr>
        <w:spacing w:after="100"/>
        <w:rPr>
          <w:rFonts w:ascii="National Bold" w:eastAsia="Times New Roman" w:hAnsi="National Bold" w:cstheme="minorHAnsi"/>
          <w:color w:val="222222"/>
          <w:sz w:val="24"/>
          <w:szCs w:val="20"/>
          <w:lang w:eastAsia="pt-PT"/>
        </w:rPr>
      </w:pPr>
    </w:p>
    <w:p w:rsidR="00EF7F15" w:rsidRDefault="00EF7F15" w:rsidP="00EF7F15">
      <w:pPr>
        <w:spacing w:after="100"/>
        <w:rPr>
          <w:rFonts w:eastAsia="Times New Roman" w:cstheme="minorHAnsi"/>
          <w:color w:val="222222"/>
          <w:sz w:val="24"/>
          <w:szCs w:val="20"/>
          <w:lang w:eastAsia="pt-PT"/>
        </w:rPr>
      </w:pPr>
    </w:p>
    <w:p w:rsidR="00EF7F15" w:rsidRDefault="00EF7F15" w:rsidP="00EF7F15">
      <w:pPr>
        <w:spacing w:after="100"/>
        <w:rPr>
          <w:rFonts w:eastAsia="Times New Roman" w:cstheme="minorHAnsi"/>
          <w:color w:val="222222"/>
          <w:sz w:val="24"/>
          <w:szCs w:val="20"/>
          <w:lang w:eastAsia="pt-PT"/>
        </w:rPr>
      </w:pPr>
    </w:p>
    <w:p w:rsidR="00EF7F15" w:rsidRDefault="00EF7F15" w:rsidP="00EF7F15">
      <w:pPr>
        <w:spacing w:after="100"/>
        <w:rPr>
          <w:rFonts w:eastAsia="Times New Roman" w:cstheme="minorHAnsi"/>
          <w:color w:val="222222"/>
          <w:sz w:val="24"/>
          <w:szCs w:val="20"/>
          <w:lang w:eastAsia="pt-PT"/>
        </w:rPr>
      </w:pPr>
    </w:p>
    <w:p w:rsidR="00EF7F15" w:rsidRDefault="00EF7F15" w:rsidP="00EF7F15">
      <w:pPr>
        <w:spacing w:after="100"/>
        <w:rPr>
          <w:rFonts w:eastAsia="Times New Roman" w:cstheme="minorHAnsi"/>
          <w:color w:val="222222"/>
          <w:sz w:val="24"/>
          <w:szCs w:val="20"/>
          <w:lang w:eastAsia="pt-PT"/>
        </w:rPr>
      </w:pPr>
    </w:p>
    <w:p w:rsidR="00EF7F15" w:rsidRDefault="00EF7F15" w:rsidP="00EF7F15">
      <w:pPr>
        <w:spacing w:after="100"/>
        <w:rPr>
          <w:rFonts w:eastAsia="Times New Roman" w:cstheme="minorHAnsi"/>
          <w:color w:val="222222"/>
          <w:sz w:val="24"/>
          <w:szCs w:val="20"/>
          <w:lang w:eastAsia="pt-PT"/>
        </w:rPr>
      </w:pPr>
    </w:p>
    <w:p w:rsidR="00EF7F15" w:rsidRDefault="00EF7F15" w:rsidP="00EF7F15">
      <w:pPr>
        <w:spacing w:after="100"/>
        <w:rPr>
          <w:rFonts w:eastAsia="Times New Roman" w:cstheme="minorHAnsi"/>
          <w:color w:val="222222"/>
          <w:sz w:val="24"/>
          <w:szCs w:val="20"/>
          <w:lang w:eastAsia="pt-PT"/>
        </w:rPr>
      </w:pPr>
    </w:p>
    <w:p w:rsidR="00EF7F15" w:rsidRDefault="00EF7F15" w:rsidP="00EF7F15">
      <w:pPr>
        <w:spacing w:after="100"/>
        <w:rPr>
          <w:rFonts w:eastAsia="Times New Roman" w:cstheme="minorHAnsi"/>
          <w:color w:val="222222"/>
          <w:sz w:val="24"/>
          <w:szCs w:val="20"/>
          <w:lang w:eastAsia="pt-PT"/>
        </w:rPr>
      </w:pPr>
    </w:p>
    <w:p w:rsidR="00EF7F15" w:rsidRDefault="00EF7F15" w:rsidP="00EF7F15">
      <w:pPr>
        <w:spacing w:after="100"/>
        <w:rPr>
          <w:rFonts w:eastAsia="Times New Roman" w:cstheme="minorHAnsi"/>
          <w:color w:val="222222"/>
          <w:sz w:val="24"/>
          <w:szCs w:val="20"/>
          <w:lang w:eastAsia="pt-PT"/>
        </w:rPr>
      </w:pPr>
    </w:p>
    <w:p w:rsidR="00EF7F15" w:rsidRPr="00DD5A44" w:rsidRDefault="00EF7F15" w:rsidP="00EF7F15">
      <w:pPr>
        <w:spacing w:after="100"/>
        <w:rPr>
          <w:rFonts w:eastAsia="Times New Roman" w:cstheme="minorHAnsi"/>
          <w:color w:val="222222"/>
          <w:sz w:val="24"/>
          <w:szCs w:val="20"/>
          <w:lang w:eastAsia="pt-PT"/>
        </w:rPr>
      </w:pPr>
    </w:p>
    <w:p w:rsidR="007C78A0" w:rsidRDefault="007C78A0">
      <w:pPr>
        <w:rPr>
          <w:rFonts w:ascii="National Extrabold" w:eastAsia="Times New Roman" w:hAnsi="National Extrabold" w:cstheme="majorBidi"/>
          <w:b/>
          <w:bCs/>
          <w:sz w:val="24"/>
          <w:szCs w:val="26"/>
          <w:lang w:eastAsia="pt-PT"/>
        </w:rPr>
      </w:pPr>
      <w:r>
        <w:rPr>
          <w:rFonts w:eastAsia="Times New Roman"/>
          <w:lang w:eastAsia="pt-PT"/>
        </w:rPr>
        <w:br w:type="page"/>
      </w:r>
    </w:p>
    <w:p w:rsidR="00EF7F15" w:rsidRPr="00DD5A44" w:rsidRDefault="00EF7F15" w:rsidP="005B4B39">
      <w:pPr>
        <w:pStyle w:val="Heading1"/>
        <w:jc w:val="left"/>
        <w:rPr>
          <w:rFonts w:eastAsia="Times New Roman"/>
          <w:lang w:eastAsia="pt-PT"/>
        </w:rPr>
      </w:pPr>
      <w:bookmarkStart w:id="3" w:name="_Toc332381763"/>
      <w:r w:rsidRPr="00DD5A44">
        <w:rPr>
          <w:rFonts w:eastAsia="Times New Roman"/>
          <w:lang w:eastAsia="pt-PT"/>
        </w:rPr>
        <w:lastRenderedPageBreak/>
        <w:t xml:space="preserve">Apresentação </w:t>
      </w:r>
      <w:r w:rsidR="00AF355A">
        <w:rPr>
          <w:rFonts w:eastAsia="Times New Roman"/>
          <w:lang w:eastAsia="pt-PT"/>
        </w:rPr>
        <w:t xml:space="preserve">e Discussão </w:t>
      </w:r>
      <w:r w:rsidRPr="00DD5A44">
        <w:rPr>
          <w:rFonts w:eastAsia="Times New Roman"/>
          <w:lang w:eastAsia="pt-PT"/>
        </w:rPr>
        <w:t>dos Resultados</w:t>
      </w:r>
      <w:bookmarkEnd w:id="3"/>
    </w:p>
    <w:p w:rsidR="00EF7F15" w:rsidRDefault="00EF7F15"/>
    <w:p w:rsidR="00E56EA5" w:rsidRPr="000005DA" w:rsidRDefault="00E56EA5" w:rsidP="00E56EA5">
      <w:pPr>
        <w:pStyle w:val="Heading3"/>
        <w:rPr>
          <w:rFonts w:ascii="National Regular" w:hAnsi="National Regular"/>
        </w:rPr>
      </w:pPr>
      <w:bookmarkStart w:id="4" w:name="_Toc332381764"/>
      <w:r>
        <w:t>Caracterização da amonstra</w:t>
      </w:r>
      <w:bookmarkEnd w:id="4"/>
    </w:p>
    <w:p w:rsidR="00885906" w:rsidRDefault="00885906" w:rsidP="005022A7">
      <w:pPr>
        <w:spacing w:line="360" w:lineRule="auto"/>
        <w:jc w:val="both"/>
        <w:rPr>
          <w:lang w:eastAsia="pt-PT"/>
        </w:rPr>
      </w:pPr>
    </w:p>
    <w:p w:rsidR="005022A7" w:rsidRPr="000005DA" w:rsidRDefault="005022A7" w:rsidP="005022A7">
      <w:pPr>
        <w:spacing w:line="360" w:lineRule="auto"/>
        <w:jc w:val="both"/>
        <w:rPr>
          <w:lang w:eastAsia="pt-PT"/>
        </w:rPr>
      </w:pPr>
      <w:r w:rsidRPr="000005DA">
        <w:rPr>
          <w:lang w:eastAsia="pt-PT"/>
        </w:rPr>
        <w:t>Participaram neste estudo 1751</w:t>
      </w:r>
      <w:r w:rsidR="00C37EB1" w:rsidRPr="000005DA">
        <w:rPr>
          <w:lang w:eastAsia="pt-PT"/>
        </w:rPr>
        <w:t xml:space="preserve"> inquiridos</w:t>
      </w:r>
      <w:r w:rsidRPr="000005DA">
        <w:rPr>
          <w:lang w:eastAsia="pt-PT"/>
        </w:rPr>
        <w:t xml:space="preserve">, </w:t>
      </w:r>
      <w:r w:rsidR="00C37EB1" w:rsidRPr="000005DA">
        <w:rPr>
          <w:lang w:eastAsia="pt-PT"/>
        </w:rPr>
        <w:t>estudantes em várias instituições do ensino superior, designadamente: Universidade de Coimbra (38,3%), Universidade de Trás-os-Montes e Alto Douro (23,7%), Instituto Politécnico de Coimbra (8,1%), Instituto Politécnico de Viseu (7,6%), Universidade do Porto (4,7%), Universidade de Aveiro (4,6%), Instituto Politécnico do Porto (3,8%), Universidade de Évora (1,6%), Universidade Portucalense (1,4%), Universidade Católica Portuguesa (1</w:t>
      </w:r>
      <w:r w:rsidR="008D694F">
        <w:rPr>
          <w:lang w:eastAsia="pt-PT"/>
        </w:rPr>
        <w:t>,0</w:t>
      </w:r>
      <w:r w:rsidR="00C37EB1" w:rsidRPr="000005DA">
        <w:rPr>
          <w:lang w:eastAsia="pt-PT"/>
        </w:rPr>
        <w:t>%), outras instituições do ensino superior nacional (5,2%) (Gráfico 1).</w:t>
      </w:r>
      <w:r w:rsidRPr="000005DA">
        <w:rPr>
          <w:lang w:eastAsia="pt-PT"/>
        </w:rPr>
        <w:t xml:space="preserve"> </w:t>
      </w:r>
    </w:p>
    <w:p w:rsidR="005022A7" w:rsidRPr="007C78A0" w:rsidRDefault="005022A7">
      <w:pPr>
        <w:rPr>
          <w:rFonts w:ascii="National Bold" w:hAnsi="National Bold"/>
        </w:rPr>
      </w:pPr>
    </w:p>
    <w:p w:rsidR="00EF7F15" w:rsidRPr="007C78A0" w:rsidRDefault="00346225" w:rsidP="004C61FE">
      <w:pPr>
        <w:jc w:val="center"/>
        <w:rPr>
          <w:rFonts w:ascii="National Bold" w:hAnsi="National Bold"/>
          <w:b/>
        </w:rPr>
      </w:pPr>
      <w:r w:rsidRPr="007C78A0">
        <w:rPr>
          <w:rFonts w:ascii="National Bold" w:hAnsi="National Bold"/>
          <w:b/>
          <w:noProof/>
          <w:lang w:eastAsia="pt-PT"/>
        </w:rPr>
        <w:drawing>
          <wp:inline distT="0" distB="0" distL="0" distR="0" wp14:anchorId="028E1E99" wp14:editId="213879A6">
            <wp:extent cx="5400040" cy="2914650"/>
            <wp:effectExtent l="0" t="0" r="0" b="0"/>
            <wp:docPr id="36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233A" w:rsidRPr="000005DA" w:rsidRDefault="0042233A" w:rsidP="00346225">
      <w:pPr>
        <w:jc w:val="center"/>
      </w:pPr>
    </w:p>
    <w:p w:rsidR="00C37EB1" w:rsidRPr="000005DA" w:rsidRDefault="00C37EB1" w:rsidP="00C37EB1">
      <w:pPr>
        <w:spacing w:line="360" w:lineRule="auto"/>
        <w:jc w:val="both"/>
        <w:rPr>
          <w:lang w:eastAsia="pt-PT"/>
        </w:rPr>
      </w:pPr>
      <w:r w:rsidRPr="000005DA">
        <w:rPr>
          <w:lang w:eastAsia="pt-PT"/>
        </w:rPr>
        <w:t xml:space="preserve">De forma geral, a amostra de inquiridos pode ser caracterizada da seguinte forma: estudantes maioritariamente da faixa etária dos 20 aos 24 anos (63,6%) (Gráfico 2), frequentadores do 1º ciclo (Licenciatura) (Gráfico 3), da área de estudos de Humanidades, C. Sociais ou Jurídico-Económicas (38,7%) (Gráfico 4), com uma média de 13,8 valores (Quadro 1) e deslocados da sua residência (64%) (Gráfico 5), sendo a maioria natural de Aveiro (164) (Gráfico 6). </w:t>
      </w:r>
    </w:p>
    <w:p w:rsidR="0042233A" w:rsidRDefault="0042233A"/>
    <w:p w:rsidR="0042233A" w:rsidRDefault="004C61FE" w:rsidP="004C61FE">
      <w:pPr>
        <w:jc w:val="center"/>
      </w:pPr>
      <w:r w:rsidRPr="004C61FE">
        <w:rPr>
          <w:noProof/>
          <w:lang w:eastAsia="pt-PT"/>
        </w:rPr>
        <w:lastRenderedPageBreak/>
        <w:drawing>
          <wp:inline distT="0" distB="0" distL="0" distR="0" wp14:anchorId="0E9F9347" wp14:editId="1AE1B73A">
            <wp:extent cx="4572000" cy="2743200"/>
            <wp:effectExtent l="0" t="0" r="0" b="0"/>
            <wp:docPr id="41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233A" w:rsidRDefault="0042233A"/>
    <w:p w:rsidR="0042233A" w:rsidRDefault="0071468D" w:rsidP="001B586C">
      <w:pPr>
        <w:jc w:val="center"/>
      </w:pPr>
      <w:r w:rsidRPr="0071468D">
        <w:rPr>
          <w:noProof/>
          <w:lang w:eastAsia="pt-PT"/>
        </w:rPr>
        <w:drawing>
          <wp:inline distT="0" distB="0" distL="0" distR="0" wp14:anchorId="603EFAE5" wp14:editId="6B2C0053">
            <wp:extent cx="5236234" cy="3148642"/>
            <wp:effectExtent l="0" t="0" r="2540" b="0"/>
            <wp:docPr id="38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233A" w:rsidRDefault="0042233A"/>
    <w:p w:rsidR="0042233A" w:rsidRDefault="0071468D" w:rsidP="001B586C">
      <w:pPr>
        <w:jc w:val="center"/>
      </w:pPr>
      <w:r w:rsidRPr="0071468D">
        <w:rPr>
          <w:noProof/>
          <w:lang w:eastAsia="pt-PT"/>
        </w:rPr>
        <w:lastRenderedPageBreak/>
        <w:drawing>
          <wp:inline distT="0" distB="0" distL="0" distR="0" wp14:anchorId="121567E4" wp14:editId="5A3F5358">
            <wp:extent cx="5546785" cy="3269411"/>
            <wp:effectExtent l="0" t="0" r="0" b="7620"/>
            <wp:docPr id="39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22A7" w:rsidRDefault="005022A7" w:rsidP="0042233A">
      <w:pPr>
        <w:jc w:val="center"/>
        <w:rPr>
          <w:b/>
        </w:rPr>
      </w:pPr>
    </w:p>
    <w:p w:rsidR="0042233A" w:rsidRPr="00EE5205" w:rsidRDefault="0042233A" w:rsidP="0042233A">
      <w:pPr>
        <w:jc w:val="center"/>
        <w:rPr>
          <w:b/>
          <w:sz w:val="24"/>
          <w:szCs w:val="28"/>
        </w:rPr>
      </w:pPr>
      <w:r w:rsidRPr="00EE5205">
        <w:rPr>
          <w:b/>
          <w:sz w:val="24"/>
          <w:szCs w:val="28"/>
        </w:rPr>
        <w:t>Quadro 1. Média (até ao momento) dos inquiridos</w:t>
      </w:r>
    </w:p>
    <w:tbl>
      <w:tblPr>
        <w:tblStyle w:val="SombreadoMdio1-Cor11"/>
        <w:tblW w:w="4180" w:type="dxa"/>
        <w:jc w:val="center"/>
        <w:tblLook w:val="04A0" w:firstRow="1" w:lastRow="0" w:firstColumn="1" w:lastColumn="0" w:noHBand="0" w:noVBand="1"/>
      </w:tblPr>
      <w:tblGrid>
        <w:gridCol w:w="3631"/>
        <w:gridCol w:w="1061"/>
      </w:tblGrid>
      <w:tr w:rsidR="0042233A" w:rsidRPr="007C78A0" w:rsidTr="00124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Média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Freq. Absoluta</w:t>
            </w:r>
          </w:p>
        </w:tc>
      </w:tr>
      <w:tr w:rsidR="0042233A" w:rsidRPr="007C78A0" w:rsidTr="0012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10 valores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Bold" w:eastAsia="Times New Roman" w:hAnsi="National Bold" w:cs="Arial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lang w:eastAsia="pt-PT"/>
              </w:rPr>
              <w:t>21</w:t>
            </w:r>
          </w:p>
        </w:tc>
      </w:tr>
      <w:tr w:rsidR="0042233A" w:rsidRPr="007C78A0" w:rsidTr="00124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11 valores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ational Bold" w:eastAsia="Times New Roman" w:hAnsi="National Bold" w:cs="Arial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lang w:eastAsia="pt-PT"/>
              </w:rPr>
              <w:t>88</w:t>
            </w:r>
          </w:p>
        </w:tc>
      </w:tr>
      <w:tr w:rsidR="0042233A" w:rsidRPr="007C78A0" w:rsidTr="0012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12 valores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Bold" w:eastAsia="Times New Roman" w:hAnsi="National Bold" w:cs="Arial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lang w:eastAsia="pt-PT"/>
              </w:rPr>
              <w:t>270</w:t>
            </w:r>
          </w:p>
        </w:tc>
      </w:tr>
      <w:tr w:rsidR="0042233A" w:rsidRPr="007C78A0" w:rsidTr="00124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13 valores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ational Bold" w:eastAsia="Times New Roman" w:hAnsi="National Bold" w:cs="Arial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lang w:eastAsia="pt-PT"/>
              </w:rPr>
              <w:t>436</w:t>
            </w:r>
          </w:p>
        </w:tc>
      </w:tr>
      <w:tr w:rsidR="0042233A" w:rsidRPr="007C78A0" w:rsidTr="0012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14 valores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Bold" w:eastAsia="Times New Roman" w:hAnsi="National Bold" w:cs="Arial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lang w:eastAsia="pt-PT"/>
              </w:rPr>
              <w:t>425</w:t>
            </w:r>
          </w:p>
        </w:tc>
      </w:tr>
      <w:tr w:rsidR="0042233A" w:rsidRPr="007C78A0" w:rsidTr="00124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15 valores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ational Bold" w:eastAsia="Times New Roman" w:hAnsi="National Bold" w:cs="Arial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lang w:eastAsia="pt-PT"/>
              </w:rPr>
              <w:t>199</w:t>
            </w:r>
          </w:p>
        </w:tc>
      </w:tr>
      <w:tr w:rsidR="0042233A" w:rsidRPr="007C78A0" w:rsidTr="0012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16 valores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Bold" w:eastAsia="Times New Roman" w:hAnsi="National Bold" w:cs="Arial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lang w:eastAsia="pt-PT"/>
              </w:rPr>
              <w:t>163</w:t>
            </w:r>
          </w:p>
        </w:tc>
      </w:tr>
      <w:tr w:rsidR="0042233A" w:rsidRPr="007C78A0" w:rsidTr="00124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17 valores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ational Bold" w:eastAsia="Times New Roman" w:hAnsi="National Bold" w:cs="Arial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lang w:eastAsia="pt-PT"/>
              </w:rPr>
              <w:t>61</w:t>
            </w:r>
          </w:p>
        </w:tc>
      </w:tr>
      <w:tr w:rsidR="0042233A" w:rsidRPr="007C78A0" w:rsidTr="0012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18 valores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Bold" w:eastAsia="Times New Roman" w:hAnsi="National Bold" w:cs="Arial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lang w:eastAsia="pt-PT"/>
              </w:rPr>
              <w:t>35</w:t>
            </w:r>
          </w:p>
        </w:tc>
      </w:tr>
      <w:tr w:rsidR="0042233A" w:rsidRPr="007C78A0" w:rsidTr="00124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19 valores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ational Bold" w:eastAsia="Times New Roman" w:hAnsi="National Bold" w:cs="Arial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lang w:eastAsia="pt-PT"/>
              </w:rPr>
              <w:t>14</w:t>
            </w:r>
          </w:p>
        </w:tc>
      </w:tr>
      <w:tr w:rsidR="0042233A" w:rsidRPr="007C78A0" w:rsidTr="0012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20 valores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Bold" w:eastAsia="Times New Roman" w:hAnsi="National Bold" w:cs="Arial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lang w:eastAsia="pt-PT"/>
              </w:rPr>
              <w:t>0</w:t>
            </w:r>
          </w:p>
        </w:tc>
      </w:tr>
      <w:tr w:rsidR="0042233A" w:rsidRPr="007C78A0" w:rsidTr="00124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NS/NR/RI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ational Bold" w:eastAsia="Times New Roman" w:hAnsi="National Bold" w:cs="Arial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lang w:eastAsia="pt-PT"/>
              </w:rPr>
              <w:t>39</w:t>
            </w:r>
          </w:p>
        </w:tc>
      </w:tr>
      <w:tr w:rsidR="0042233A" w:rsidRPr="007C78A0" w:rsidTr="0012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Total de respostas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Bold" w:eastAsia="Times New Roman" w:hAnsi="National Bold" w:cs="Arial"/>
                <w:bCs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Cs/>
                <w:lang w:eastAsia="pt-PT"/>
              </w:rPr>
              <w:t>1751</w:t>
            </w:r>
          </w:p>
        </w:tc>
      </w:tr>
      <w:tr w:rsidR="0042233A" w:rsidRPr="007C78A0" w:rsidTr="00124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noWrap/>
            <w:hideMark/>
          </w:tcPr>
          <w:p w:rsidR="0042233A" w:rsidRPr="007C78A0" w:rsidRDefault="0042233A" w:rsidP="00124AE4">
            <w:pPr>
              <w:jc w:val="center"/>
              <w:rPr>
                <w:rFonts w:ascii="National Bold" w:eastAsia="Times New Roman" w:hAnsi="National Bold" w:cs="Arial"/>
                <w:b w:val="0"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 w:val="0"/>
                <w:lang w:eastAsia="pt-PT"/>
              </w:rPr>
              <w:t>Média (arredondado às décimas)</w:t>
            </w:r>
          </w:p>
        </w:tc>
        <w:tc>
          <w:tcPr>
            <w:tcW w:w="549" w:type="dxa"/>
            <w:noWrap/>
            <w:hideMark/>
          </w:tcPr>
          <w:p w:rsidR="0042233A" w:rsidRPr="007C78A0" w:rsidRDefault="0042233A" w:rsidP="00124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ational Bold" w:eastAsia="Times New Roman" w:hAnsi="National Bold" w:cs="Arial"/>
                <w:bCs/>
                <w:lang w:eastAsia="pt-PT"/>
              </w:rPr>
            </w:pPr>
            <w:r w:rsidRPr="007C78A0">
              <w:rPr>
                <w:rFonts w:ascii="National Bold" w:eastAsia="Times New Roman" w:hAnsi="National Bold" w:cs="Arial"/>
                <w:bCs/>
                <w:lang w:eastAsia="pt-PT"/>
              </w:rPr>
              <w:t>13,8</w:t>
            </w:r>
          </w:p>
        </w:tc>
      </w:tr>
    </w:tbl>
    <w:p w:rsidR="0042233A" w:rsidRPr="00C37EB1" w:rsidRDefault="0042233A"/>
    <w:p w:rsidR="00C37EB1" w:rsidRDefault="00C37EB1" w:rsidP="00C37EB1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</w:p>
    <w:p w:rsidR="0042233A" w:rsidRDefault="0042233A">
      <w:r w:rsidRPr="007C78A0">
        <w:rPr>
          <w:rFonts w:ascii="National Bold" w:hAnsi="National Bold"/>
          <w:b/>
          <w:noProof/>
          <w:lang w:eastAsia="pt-PT"/>
        </w:rPr>
        <w:lastRenderedPageBreak/>
        <w:drawing>
          <wp:inline distT="0" distB="0" distL="0" distR="0" wp14:anchorId="4A6D35AE" wp14:editId="5AB11E77">
            <wp:extent cx="5612130" cy="2534285"/>
            <wp:effectExtent l="0" t="0" r="7620" b="0"/>
            <wp:docPr id="20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233A" w:rsidRDefault="0042233A"/>
    <w:p w:rsidR="0042233A" w:rsidRDefault="00F54D01">
      <w:r w:rsidRPr="00F54D01">
        <w:rPr>
          <w:noProof/>
          <w:lang w:eastAsia="pt-PT"/>
        </w:rPr>
        <w:drawing>
          <wp:inline distT="0" distB="0" distL="0" distR="0" wp14:anchorId="57EA954B" wp14:editId="5D6E44D2">
            <wp:extent cx="5607170" cy="4011283"/>
            <wp:effectExtent l="0" t="0" r="0" b="8890"/>
            <wp:docPr id="40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6EA5" w:rsidRDefault="00E56EA5" w:rsidP="00E56EA5"/>
    <w:p w:rsidR="00E56EA5" w:rsidRPr="00E56EA5" w:rsidRDefault="00E56EA5" w:rsidP="00E56EA5">
      <w:pPr>
        <w:pStyle w:val="Heading3"/>
        <w:rPr>
          <w:rFonts w:ascii="National Regular" w:hAnsi="National Regular"/>
        </w:rPr>
      </w:pPr>
      <w:bookmarkStart w:id="5" w:name="_Toc332381765"/>
      <w:r>
        <w:t>Resultados: Realização de Mobilidade Internacional</w:t>
      </w:r>
      <w:bookmarkEnd w:id="5"/>
    </w:p>
    <w:p w:rsidR="00E56EA5" w:rsidRDefault="00E56EA5" w:rsidP="00C37EB1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</w:p>
    <w:p w:rsidR="00C37EB1" w:rsidRPr="000005DA" w:rsidRDefault="00C37EB1" w:rsidP="00C37EB1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  <w:r w:rsidRPr="000005DA">
        <w:rPr>
          <w:rFonts w:eastAsia="Times New Roman" w:cstheme="minorHAnsi"/>
          <w:color w:val="222222"/>
          <w:szCs w:val="20"/>
          <w:lang w:eastAsia="pt-PT"/>
        </w:rPr>
        <w:t>No que toca à participação em programas de mobilidade internacional, os resultados</w:t>
      </w:r>
      <w:r w:rsidR="003C1321" w:rsidRPr="000005DA">
        <w:rPr>
          <w:rFonts w:eastAsia="Times New Roman" w:cstheme="minorHAnsi"/>
          <w:color w:val="222222"/>
          <w:szCs w:val="20"/>
          <w:lang w:eastAsia="pt-PT"/>
        </w:rPr>
        <w:t xml:space="preserve"> dos Gráficos 7 e 8 </w:t>
      </w:r>
      <w:r w:rsidRPr="000005DA">
        <w:rPr>
          <w:rFonts w:eastAsia="Times New Roman" w:cstheme="minorHAnsi"/>
          <w:color w:val="222222"/>
          <w:szCs w:val="20"/>
          <w:lang w:eastAsia="pt-PT"/>
        </w:rPr>
        <w:t>revelam que a maioria dos estudantes que responderam a este inquérito não realizaram qualquer programa de mobilidade internacional</w:t>
      </w:r>
      <w:r w:rsidR="00B3577C" w:rsidRPr="000005DA">
        <w:rPr>
          <w:rFonts w:eastAsia="Times New Roman" w:cstheme="minorHAnsi"/>
          <w:color w:val="222222"/>
          <w:szCs w:val="20"/>
          <w:lang w:eastAsia="pt-PT"/>
        </w:rPr>
        <w:t xml:space="preserve"> (86%)</w:t>
      </w:r>
      <w:r w:rsidR="005C2158">
        <w:rPr>
          <w:rFonts w:eastAsia="Times New Roman" w:cstheme="minorHAnsi"/>
          <w:color w:val="222222"/>
          <w:szCs w:val="20"/>
          <w:lang w:eastAsia="pt-PT"/>
        </w:rPr>
        <w:t>, sendo que quase metade (46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%) não o fez por dificuldades </w:t>
      </w:r>
      <w:r w:rsidR="00B3577C" w:rsidRPr="000005DA">
        <w:rPr>
          <w:rFonts w:eastAsia="Times New Roman" w:cstheme="minorHAnsi"/>
          <w:color w:val="222222"/>
          <w:szCs w:val="20"/>
          <w:lang w:eastAsia="pt-PT"/>
        </w:rPr>
        <w:t>socioeconómicas</w:t>
      </w:r>
      <w:r w:rsidR="005C2158">
        <w:rPr>
          <w:rFonts w:eastAsia="Times New Roman" w:cstheme="minorHAnsi"/>
          <w:color w:val="222222"/>
          <w:szCs w:val="20"/>
          <w:lang w:eastAsia="pt-PT"/>
        </w:rPr>
        <w:t xml:space="preserve"> e 39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% não realizou mobilidade para outro </w:t>
      </w:r>
      <w:r w:rsidRPr="000005DA">
        <w:rPr>
          <w:rFonts w:eastAsia="Times New Roman" w:cstheme="minorHAnsi"/>
          <w:color w:val="222222"/>
          <w:szCs w:val="20"/>
          <w:lang w:eastAsia="pt-PT"/>
        </w:rPr>
        <w:lastRenderedPageBreak/>
        <w:t>país por vontade pessoal. Ademais, convém recordar que notícias de maio pa</w:t>
      </w:r>
      <w:r w:rsidR="00B3577C" w:rsidRPr="000005DA">
        <w:rPr>
          <w:rFonts w:eastAsia="Times New Roman" w:cstheme="minorHAnsi"/>
          <w:color w:val="222222"/>
          <w:szCs w:val="20"/>
          <w:lang w:eastAsia="pt-PT"/>
        </w:rPr>
        <w:t>ssado (vd. Público, 10 de maio)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 confirmam que 716 alunos já cancelaram a sua participação no programa Erasmus desde da fase de candidatura há um ano)</w:t>
      </w:r>
      <w:r w:rsidR="00B3577C" w:rsidRPr="000005DA">
        <w:rPr>
          <w:rFonts w:eastAsia="Times New Roman" w:cstheme="minorHAnsi"/>
          <w:color w:val="222222"/>
          <w:szCs w:val="20"/>
          <w:lang w:eastAsia="pt-PT"/>
        </w:rPr>
        <w:t>.</w:t>
      </w:r>
    </w:p>
    <w:p w:rsidR="00C37EB1" w:rsidRDefault="00C37EB1" w:rsidP="00C37EB1">
      <w:pPr>
        <w:spacing w:line="360" w:lineRule="auto"/>
        <w:jc w:val="both"/>
      </w:pPr>
    </w:p>
    <w:p w:rsidR="0042233A" w:rsidRDefault="005F40E2">
      <w:r w:rsidRPr="007C78A0">
        <w:rPr>
          <w:rFonts w:ascii="National Bold" w:hAnsi="National Bold"/>
          <w:b/>
          <w:noProof/>
          <w:lang w:eastAsia="pt-PT"/>
        </w:rPr>
        <w:drawing>
          <wp:inline distT="0" distB="0" distL="0" distR="0" wp14:anchorId="6A531FAD" wp14:editId="11F32590">
            <wp:extent cx="5612130" cy="2747010"/>
            <wp:effectExtent l="0" t="0" r="7620" b="0"/>
            <wp:docPr id="22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40E2" w:rsidRDefault="005F40E2"/>
    <w:p w:rsidR="005F40E2" w:rsidRDefault="005F40E2">
      <w:r w:rsidRPr="005F40E2">
        <w:rPr>
          <w:noProof/>
          <w:lang w:eastAsia="pt-PT"/>
        </w:rPr>
        <w:drawing>
          <wp:inline distT="0" distB="0" distL="0" distR="0" wp14:anchorId="37F4C680" wp14:editId="446FF763">
            <wp:extent cx="5607170" cy="3916393"/>
            <wp:effectExtent l="0" t="0" r="0" b="8255"/>
            <wp:docPr id="23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5581" w:rsidRDefault="00F85581"/>
    <w:p w:rsidR="00802780" w:rsidRPr="00E56EA5" w:rsidRDefault="00802780" w:rsidP="00802780">
      <w:pPr>
        <w:pStyle w:val="Heading3"/>
        <w:rPr>
          <w:rFonts w:ascii="National Regular" w:hAnsi="National Regular"/>
        </w:rPr>
      </w:pPr>
      <w:bookmarkStart w:id="6" w:name="_Toc332381766"/>
      <w:r>
        <w:lastRenderedPageBreak/>
        <w:t>Resultados: Intenções em emigrar</w:t>
      </w:r>
      <w:bookmarkEnd w:id="6"/>
    </w:p>
    <w:p w:rsidR="00802780" w:rsidRDefault="00802780" w:rsidP="003C1321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</w:p>
    <w:p w:rsidR="003C1321" w:rsidRPr="000005DA" w:rsidRDefault="003C1321" w:rsidP="003C1321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Observando o Gráfico 9, verifica-se existir uma elevada percentagem de estudantes com intenções em emigrar (69%). Destes, </w:t>
      </w:r>
      <w:r w:rsidR="00FD1276" w:rsidRPr="000005DA">
        <w:rPr>
          <w:rFonts w:eastAsia="Times New Roman" w:cstheme="minorHAnsi"/>
          <w:color w:val="222222"/>
          <w:szCs w:val="20"/>
          <w:lang w:eastAsia="pt-PT"/>
        </w:rPr>
        <w:t>a maioria dos inquiridos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 afirma ter intenções de emigrar para um qualquer outro país europeu</w:t>
      </w:r>
      <w:r w:rsidR="00FD1276" w:rsidRPr="000005DA">
        <w:rPr>
          <w:rFonts w:eastAsia="Times New Roman" w:cstheme="minorHAnsi"/>
          <w:color w:val="222222"/>
          <w:szCs w:val="20"/>
          <w:lang w:eastAsia="pt-PT"/>
        </w:rPr>
        <w:t xml:space="preserve"> (Gráfico 10). O </w:t>
      </w:r>
      <w:r w:rsidR="00CA027E">
        <w:rPr>
          <w:rFonts w:eastAsia="Times New Roman" w:cstheme="minorHAnsi"/>
          <w:color w:val="222222"/>
          <w:szCs w:val="20"/>
          <w:lang w:eastAsia="pt-PT"/>
        </w:rPr>
        <w:t>G</w:t>
      </w:r>
      <w:r w:rsidR="00FD1276" w:rsidRPr="000005DA">
        <w:rPr>
          <w:rFonts w:eastAsia="Times New Roman" w:cstheme="minorHAnsi"/>
          <w:color w:val="222222"/>
          <w:szCs w:val="20"/>
          <w:lang w:eastAsia="pt-PT"/>
        </w:rPr>
        <w:t>ráfico 10 revela também alguma concentração de não respostas, o que pode indiciar que alguns inquiridos ainda não pensaram de forma concreta no assunto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, seguindo-se a América do Sul, com forte pendor para uma escolha particular, designadamente o </w:t>
      </w:r>
      <w:r w:rsidR="007472CC" w:rsidRPr="000005DA">
        <w:rPr>
          <w:rFonts w:eastAsia="Times New Roman" w:cstheme="minorHAnsi"/>
          <w:color w:val="222222"/>
          <w:szCs w:val="20"/>
          <w:lang w:eastAsia="pt-PT"/>
        </w:rPr>
        <w:t>Brasil.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 </w:t>
      </w:r>
      <w:r w:rsidR="007472CC" w:rsidRPr="000005DA">
        <w:rPr>
          <w:rFonts w:eastAsia="Times New Roman" w:cstheme="minorHAnsi"/>
          <w:color w:val="222222"/>
          <w:szCs w:val="20"/>
          <w:lang w:eastAsia="pt-PT"/>
        </w:rPr>
        <w:t>Nesta linha de pensamento, as principais razões que estão na base da eventual emigração dos inquiridos estão sobretudo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 </w:t>
      </w:r>
      <w:r w:rsidR="007472CC" w:rsidRPr="000005DA">
        <w:rPr>
          <w:rFonts w:eastAsia="Times New Roman" w:cstheme="minorHAnsi"/>
          <w:color w:val="222222"/>
          <w:szCs w:val="20"/>
          <w:lang w:eastAsia="pt-PT"/>
        </w:rPr>
        <w:t xml:space="preserve">relacionadas com o 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objetivo de </w:t>
      </w:r>
      <w:r w:rsidR="005C2158">
        <w:rPr>
          <w:rFonts w:eastAsia="Times New Roman" w:cstheme="minorHAnsi"/>
          <w:color w:val="222222"/>
          <w:szCs w:val="20"/>
          <w:lang w:eastAsia="pt-PT"/>
        </w:rPr>
        <w:t>se inserirem no mercado laboral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 e o intuito de conseguir</w:t>
      </w:r>
      <w:r w:rsidR="007472CC" w:rsidRPr="000005DA">
        <w:rPr>
          <w:rFonts w:eastAsia="Times New Roman" w:cstheme="minorHAnsi"/>
          <w:color w:val="222222"/>
          <w:szCs w:val="20"/>
          <w:lang w:eastAsia="pt-PT"/>
        </w:rPr>
        <w:t>em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 melhores perspetivas de emprego (877 em 2278 respostas) e</w:t>
      </w:r>
      <w:r w:rsidR="005C2158">
        <w:rPr>
          <w:rFonts w:eastAsia="Times New Roman" w:cstheme="minorHAnsi"/>
          <w:color w:val="222222"/>
          <w:szCs w:val="20"/>
          <w:lang w:eastAsia="pt-PT"/>
        </w:rPr>
        <w:t>, ainda,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 melhores condições salariais (617 respostas num total de 2278)</w:t>
      </w:r>
      <w:r w:rsidR="00FD1276" w:rsidRPr="000005DA">
        <w:rPr>
          <w:rFonts w:eastAsia="Times New Roman" w:cstheme="minorHAnsi"/>
          <w:color w:val="222222"/>
          <w:szCs w:val="20"/>
          <w:lang w:eastAsia="pt-PT"/>
        </w:rPr>
        <w:t xml:space="preserve"> (Gráfico 12)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. </w:t>
      </w:r>
    </w:p>
    <w:p w:rsidR="00802780" w:rsidRDefault="00802780" w:rsidP="00802780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</w:p>
    <w:p w:rsidR="00802780" w:rsidRPr="000005DA" w:rsidRDefault="00802780"/>
    <w:p w:rsidR="00F85581" w:rsidRDefault="00F85581" w:rsidP="00D01EEB">
      <w:pPr>
        <w:jc w:val="center"/>
      </w:pPr>
      <w:r w:rsidRPr="00F85581">
        <w:rPr>
          <w:noProof/>
          <w:lang w:eastAsia="pt-PT"/>
        </w:rPr>
        <w:drawing>
          <wp:inline distT="0" distB="0" distL="0" distR="0" wp14:anchorId="16727778" wp14:editId="405DFCA7">
            <wp:extent cx="5095875" cy="2228850"/>
            <wp:effectExtent l="0" t="0" r="0" b="0"/>
            <wp:docPr id="24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1EEB" w:rsidRDefault="00D01EEB" w:rsidP="00D01EEB">
      <w:pPr>
        <w:jc w:val="center"/>
      </w:pPr>
    </w:p>
    <w:p w:rsidR="00944F8E" w:rsidRDefault="00F85581" w:rsidP="004E2EF8">
      <w:pPr>
        <w:ind w:left="-426"/>
        <w:jc w:val="center"/>
      </w:pPr>
      <w:r w:rsidRPr="00F85581">
        <w:rPr>
          <w:noProof/>
          <w:lang w:eastAsia="pt-PT"/>
        </w:rPr>
        <w:lastRenderedPageBreak/>
        <w:drawing>
          <wp:inline distT="0" distB="0" distL="0" distR="0" wp14:anchorId="70B26623" wp14:editId="070533E5">
            <wp:extent cx="6115050" cy="3307080"/>
            <wp:effectExtent l="0" t="0" r="0" b="7620"/>
            <wp:docPr id="25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5581" w:rsidRDefault="00FB0BE7" w:rsidP="007472CC">
      <w:pPr>
        <w:jc w:val="center"/>
      </w:pPr>
      <w:r w:rsidRPr="00FB0BE7">
        <w:rPr>
          <w:noProof/>
          <w:lang w:eastAsia="pt-PT"/>
        </w:rPr>
        <w:drawing>
          <wp:inline distT="0" distB="0" distL="0" distR="0" wp14:anchorId="6DA4904F" wp14:editId="5D4128C6">
            <wp:extent cx="5607170" cy="2536166"/>
            <wp:effectExtent l="0" t="0" r="0" b="0"/>
            <wp:docPr id="26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0BE7" w:rsidRDefault="00FB0BE7"/>
    <w:p w:rsidR="00FB0BE7" w:rsidRDefault="00FB0BE7" w:rsidP="00D01EEB">
      <w:pPr>
        <w:ind w:left="-709"/>
        <w:jc w:val="center"/>
      </w:pPr>
      <w:r w:rsidRPr="00FB0BE7">
        <w:rPr>
          <w:noProof/>
          <w:lang w:eastAsia="pt-PT"/>
        </w:rPr>
        <w:lastRenderedPageBreak/>
        <w:drawing>
          <wp:inline distT="0" distB="0" distL="0" distR="0" wp14:anchorId="27C61A5C" wp14:editId="75EDFA82">
            <wp:extent cx="6467475" cy="3038475"/>
            <wp:effectExtent l="0" t="0" r="0" b="0"/>
            <wp:docPr id="27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02780" w:rsidRDefault="00802780" w:rsidP="00802780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</w:p>
    <w:p w:rsidR="00802780" w:rsidRPr="000005DA" w:rsidRDefault="00802780" w:rsidP="00802780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  <w:r w:rsidRPr="000005DA">
        <w:rPr>
          <w:rFonts w:eastAsia="Times New Roman" w:cstheme="minorHAnsi"/>
          <w:color w:val="222222"/>
          <w:szCs w:val="20"/>
          <w:lang w:eastAsia="pt-PT"/>
        </w:rPr>
        <w:t>Da percentagem de estud</w:t>
      </w:r>
      <w:r>
        <w:rPr>
          <w:rFonts w:eastAsia="Times New Roman" w:cstheme="minorHAnsi"/>
          <w:color w:val="222222"/>
          <w:szCs w:val="20"/>
          <w:lang w:eastAsia="pt-PT"/>
        </w:rPr>
        <w:t>antes que pretende emigrar (6</w:t>
      </w:r>
      <w:r w:rsidR="00CB1D8F">
        <w:rPr>
          <w:rFonts w:eastAsia="Times New Roman" w:cstheme="minorHAnsi"/>
          <w:color w:val="222222"/>
          <w:szCs w:val="20"/>
          <w:lang w:eastAsia="pt-PT"/>
        </w:rPr>
        <w:t>9</w:t>
      </w:r>
      <w:r>
        <w:rPr>
          <w:rFonts w:eastAsia="Times New Roman" w:cstheme="minorHAnsi"/>
          <w:color w:val="222222"/>
          <w:szCs w:val="20"/>
          <w:lang w:eastAsia="pt-PT"/>
        </w:rPr>
        <w:t>%) – ver Gráfico 9 -, 85</w:t>
      </w:r>
      <w:r w:rsidRPr="000005DA">
        <w:rPr>
          <w:rFonts w:eastAsia="Times New Roman" w:cstheme="minorHAnsi"/>
          <w:color w:val="222222"/>
          <w:szCs w:val="20"/>
          <w:lang w:eastAsia="pt-PT"/>
        </w:rPr>
        <w:t>% destes pondera voltar, tal como mostra o Gráfico 13. Noutro prisma, a identificação cultural com Portugal é o maior motivo para os que não consideram emigrar (Gráfico 14).</w:t>
      </w:r>
    </w:p>
    <w:p w:rsidR="007472CC" w:rsidRDefault="007472CC"/>
    <w:p w:rsidR="007A2ACD" w:rsidRDefault="007A2ACD" w:rsidP="007472CC">
      <w:pPr>
        <w:jc w:val="center"/>
      </w:pPr>
      <w:r w:rsidRPr="007A2ACD">
        <w:rPr>
          <w:noProof/>
          <w:lang w:eastAsia="pt-PT"/>
        </w:rPr>
        <w:drawing>
          <wp:inline distT="0" distB="0" distL="0" distR="0" wp14:anchorId="45B04B2E" wp14:editId="17410A97">
            <wp:extent cx="5612130" cy="2327910"/>
            <wp:effectExtent l="0" t="0" r="7620" b="0"/>
            <wp:docPr id="29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5581" w:rsidRDefault="00F85581"/>
    <w:p w:rsidR="007A2ACD" w:rsidRDefault="007A2ACD">
      <w:r w:rsidRPr="007A2ACD">
        <w:rPr>
          <w:noProof/>
          <w:lang w:eastAsia="pt-PT"/>
        </w:rPr>
        <w:lastRenderedPageBreak/>
        <w:drawing>
          <wp:inline distT="0" distB="0" distL="0" distR="0" wp14:anchorId="35400565" wp14:editId="741BB28E">
            <wp:extent cx="5612130" cy="2647315"/>
            <wp:effectExtent l="0" t="0" r="7620" b="635"/>
            <wp:docPr id="30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472CC" w:rsidRDefault="007472CC" w:rsidP="00431102">
      <w:pPr>
        <w:spacing w:line="360" w:lineRule="auto"/>
        <w:jc w:val="both"/>
      </w:pPr>
    </w:p>
    <w:p w:rsidR="00E56EA5" w:rsidRDefault="00E56EA5" w:rsidP="00E56EA5">
      <w:pPr>
        <w:pStyle w:val="Heading3"/>
      </w:pPr>
      <w:bookmarkStart w:id="7" w:name="_Toc332381767"/>
      <w:r>
        <w:t>Resultados: Mecanismos Informativos</w:t>
      </w:r>
      <w:bookmarkEnd w:id="7"/>
    </w:p>
    <w:p w:rsidR="00E56EA5" w:rsidRPr="00E56EA5" w:rsidRDefault="00E56EA5" w:rsidP="00E56EA5"/>
    <w:p w:rsidR="00431102" w:rsidRPr="000005DA" w:rsidRDefault="00431102" w:rsidP="00431102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  <w:r w:rsidRPr="000005DA">
        <w:rPr>
          <w:rFonts w:eastAsia="Times New Roman" w:cstheme="minorHAnsi"/>
          <w:color w:val="222222"/>
          <w:szCs w:val="20"/>
          <w:lang w:eastAsia="pt-PT"/>
        </w:rPr>
        <w:t>A m</w:t>
      </w:r>
      <w:r w:rsidR="005C2158">
        <w:rPr>
          <w:rFonts w:eastAsia="Times New Roman" w:cstheme="minorHAnsi"/>
          <w:color w:val="222222"/>
          <w:szCs w:val="20"/>
          <w:lang w:eastAsia="pt-PT"/>
        </w:rPr>
        <w:t>aior parte dos inquiridos - 59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% - considera ainda que não existem mecanismos informativos sobre os diversos países europeus, o que </w:t>
      </w:r>
      <w:r w:rsidR="003E0B93">
        <w:rPr>
          <w:rFonts w:eastAsia="Times New Roman" w:cstheme="minorHAnsi"/>
          <w:color w:val="222222"/>
          <w:szCs w:val="20"/>
          <w:lang w:eastAsia="pt-PT"/>
        </w:rPr>
        <w:t>poderá ser</w:t>
      </w:r>
      <w:r w:rsidRPr="000005DA">
        <w:rPr>
          <w:rFonts w:eastAsia="Times New Roman" w:cstheme="minorHAnsi"/>
          <w:color w:val="222222"/>
          <w:szCs w:val="20"/>
          <w:lang w:eastAsia="pt-PT"/>
        </w:rPr>
        <w:t>, no nosso entender, uma clara "barreira" à internacionalização do emprego jovem.</w:t>
      </w:r>
    </w:p>
    <w:p w:rsidR="00431102" w:rsidRDefault="00431102"/>
    <w:p w:rsidR="00B61386" w:rsidRDefault="00B61386">
      <w:r w:rsidRPr="007C78A0">
        <w:rPr>
          <w:rFonts w:ascii="National Bold" w:hAnsi="National Bold"/>
          <w:b/>
          <w:noProof/>
          <w:lang w:eastAsia="pt-PT"/>
        </w:rPr>
        <w:drawing>
          <wp:inline distT="0" distB="0" distL="0" distR="0" wp14:anchorId="659DDAA2" wp14:editId="73D96C03">
            <wp:extent cx="5612130" cy="3193415"/>
            <wp:effectExtent l="0" t="0" r="7620" b="6985"/>
            <wp:docPr id="28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C0531" w:rsidRDefault="000C0531">
      <w:pPr>
        <w:rPr>
          <w:sz w:val="26"/>
          <w:szCs w:val="26"/>
        </w:rPr>
      </w:pPr>
    </w:p>
    <w:p w:rsidR="00E56EA5" w:rsidRPr="00E56EA5" w:rsidRDefault="00885906" w:rsidP="00E56EA5">
      <w:pPr>
        <w:pStyle w:val="Heading3"/>
        <w:rPr>
          <w:rFonts w:ascii="National Regular" w:hAnsi="National Regular"/>
        </w:rPr>
      </w:pPr>
      <w:bookmarkStart w:id="8" w:name="_Toc332381768"/>
      <w:r>
        <w:t xml:space="preserve">Resultados: </w:t>
      </w:r>
      <w:r w:rsidR="00E56EA5">
        <w:t>Cruzamento de Variáveis</w:t>
      </w:r>
      <w:bookmarkEnd w:id="8"/>
    </w:p>
    <w:p w:rsidR="00D01EEB" w:rsidRDefault="00D01EEB">
      <w:pPr>
        <w:rPr>
          <w:b/>
          <w:i/>
          <w:sz w:val="24"/>
          <w:szCs w:val="24"/>
        </w:rPr>
      </w:pPr>
    </w:p>
    <w:p w:rsidR="001D5F33" w:rsidRPr="00AF3C4A" w:rsidRDefault="001D5F33" w:rsidP="001D5F33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  <w:r w:rsidRPr="00AF3C4A">
        <w:rPr>
          <w:rFonts w:eastAsia="Times New Roman" w:cstheme="minorHAnsi"/>
          <w:color w:val="222222"/>
          <w:szCs w:val="20"/>
          <w:lang w:eastAsia="pt-PT"/>
        </w:rPr>
        <w:lastRenderedPageBreak/>
        <w:t>A</w:t>
      </w:r>
      <w:r w:rsidR="0046250B">
        <w:rPr>
          <w:rFonts w:eastAsia="Times New Roman" w:cstheme="minorHAnsi"/>
          <w:color w:val="222222"/>
          <w:szCs w:val="20"/>
          <w:lang w:eastAsia="pt-PT"/>
        </w:rPr>
        <w:t xml:space="preserve">pesar de se apresentarem, de seguida, todos os dados tendo em conta as </w:t>
      </w:r>
      <w:r w:rsidR="003E0B93">
        <w:rPr>
          <w:rFonts w:eastAsia="Times New Roman" w:cstheme="minorHAnsi"/>
          <w:color w:val="222222"/>
          <w:szCs w:val="20"/>
          <w:lang w:eastAsia="pt-PT"/>
        </w:rPr>
        <w:t>percentagens</w:t>
      </w:r>
      <w:r w:rsidR="0046250B">
        <w:rPr>
          <w:rFonts w:eastAsia="Times New Roman" w:cstheme="minorHAnsi"/>
          <w:color w:val="222222"/>
          <w:szCs w:val="20"/>
          <w:lang w:eastAsia="pt-PT"/>
        </w:rPr>
        <w:t xml:space="preserve"> de resposta relativas, é sobre as </w:t>
      </w:r>
      <w:r w:rsidR="003E0B93">
        <w:rPr>
          <w:rFonts w:eastAsia="Times New Roman" w:cstheme="minorHAnsi"/>
          <w:color w:val="222222"/>
          <w:szCs w:val="20"/>
          <w:lang w:eastAsia="pt-PT"/>
        </w:rPr>
        <w:t>percentagens</w:t>
      </w:r>
      <w:r w:rsidR="0046250B">
        <w:rPr>
          <w:rFonts w:eastAsia="Times New Roman" w:cstheme="minorHAnsi"/>
          <w:color w:val="222222"/>
          <w:szCs w:val="20"/>
          <w:lang w:eastAsia="pt-PT"/>
        </w:rPr>
        <w:t xml:space="preserve"> que dizem respeito aos segmentos que cada variável que nos iremos debruçar. Nesse sentido, a</w:t>
      </w:r>
      <w:r w:rsidRPr="00AF3C4A">
        <w:rPr>
          <w:rFonts w:eastAsia="Times New Roman" w:cstheme="minorHAnsi"/>
          <w:color w:val="222222"/>
          <w:szCs w:val="20"/>
          <w:lang w:eastAsia="pt-PT"/>
        </w:rPr>
        <w:t>tendendo ao cruzamento de algumas variáveis, verifica-se pela análise do</w:t>
      </w:r>
      <w:r w:rsidR="0046250B">
        <w:rPr>
          <w:rFonts w:eastAsia="Times New Roman" w:cstheme="minorHAnsi"/>
          <w:color w:val="222222"/>
          <w:szCs w:val="20"/>
          <w:lang w:eastAsia="pt-PT"/>
        </w:rPr>
        <w:t xml:space="preserve"> Gráfico 17</w:t>
      </w:r>
      <w:r w:rsidRPr="00AF3C4A">
        <w:rPr>
          <w:rFonts w:eastAsia="Times New Roman" w:cstheme="minorHAnsi"/>
          <w:color w:val="222222"/>
          <w:szCs w:val="20"/>
          <w:lang w:eastAsia="pt-PT"/>
        </w:rPr>
        <w:t xml:space="preserve"> que a faixa etária com "mais de 35 anos" é aquela que apresenta os índices mais baixos de frequência de programas de mobilidade, </w:t>
      </w:r>
      <w:r w:rsidRPr="0046250B">
        <w:rPr>
          <w:rFonts w:eastAsia="Times New Roman" w:cstheme="minorHAnsi"/>
          <w:color w:val="222222"/>
          <w:szCs w:val="20"/>
          <w:lang w:eastAsia="pt-PT"/>
        </w:rPr>
        <w:t>bem como a que concentra menor número de respostas relativamente à intenção em emigrar (</w:t>
      </w:r>
      <w:r w:rsidR="0046250B" w:rsidRPr="0046250B">
        <w:rPr>
          <w:rFonts w:eastAsia="Times New Roman" w:cstheme="minorHAnsi"/>
          <w:color w:val="222222"/>
          <w:szCs w:val="20"/>
          <w:lang w:eastAsia="pt-PT"/>
        </w:rPr>
        <w:t>Gráfico 19</w:t>
      </w:r>
      <w:r w:rsidRPr="0046250B">
        <w:rPr>
          <w:rFonts w:eastAsia="Times New Roman" w:cstheme="minorHAnsi"/>
          <w:color w:val="222222"/>
          <w:szCs w:val="20"/>
          <w:lang w:eastAsia="pt-PT"/>
        </w:rPr>
        <w:t xml:space="preserve">). </w:t>
      </w:r>
      <w:r w:rsidR="00AF3C4A" w:rsidRPr="0046250B">
        <w:rPr>
          <w:rFonts w:eastAsia="Times New Roman" w:cstheme="minorHAnsi"/>
          <w:color w:val="222222"/>
          <w:szCs w:val="20"/>
          <w:lang w:eastAsia="pt-PT"/>
        </w:rPr>
        <w:t xml:space="preserve">Aliás, dos inquiridos com "mais de 35 anos", são menos os que consideram emigrar (48,8%) do que os </w:t>
      </w:r>
      <w:r w:rsidR="0046250B" w:rsidRPr="0046250B">
        <w:rPr>
          <w:rFonts w:eastAsia="Times New Roman" w:cstheme="minorHAnsi"/>
          <w:color w:val="222222"/>
          <w:szCs w:val="20"/>
          <w:lang w:eastAsia="pt-PT"/>
        </w:rPr>
        <w:t>que não colocam em questão essa possibilidade</w:t>
      </w:r>
      <w:r w:rsidR="00AF3C4A" w:rsidRPr="0046250B">
        <w:rPr>
          <w:rFonts w:eastAsia="Times New Roman" w:cstheme="minorHAnsi"/>
          <w:color w:val="222222"/>
          <w:szCs w:val="20"/>
          <w:lang w:eastAsia="pt-PT"/>
        </w:rPr>
        <w:t xml:space="preserve"> (51,2%), </w:t>
      </w:r>
      <w:r w:rsidR="0046250B" w:rsidRPr="0046250B">
        <w:rPr>
          <w:rFonts w:eastAsia="Times New Roman" w:cstheme="minorHAnsi"/>
          <w:color w:val="222222"/>
          <w:szCs w:val="20"/>
          <w:lang w:eastAsia="pt-PT"/>
        </w:rPr>
        <w:t>contrariando a tendência em todo</w:t>
      </w:r>
      <w:r w:rsidR="00AF3C4A" w:rsidRPr="0046250B">
        <w:rPr>
          <w:rFonts w:eastAsia="Times New Roman" w:cstheme="minorHAnsi"/>
          <w:color w:val="222222"/>
          <w:szCs w:val="20"/>
          <w:lang w:eastAsia="pt-PT"/>
        </w:rPr>
        <w:t xml:space="preserve">s os outros segmentos etários. </w:t>
      </w:r>
      <w:r w:rsidRPr="0046250B">
        <w:rPr>
          <w:rFonts w:eastAsia="Times New Roman" w:cstheme="minorHAnsi"/>
          <w:color w:val="222222"/>
          <w:szCs w:val="20"/>
          <w:lang w:eastAsia="pt-PT"/>
        </w:rPr>
        <w:t>Por outro lado, os dados estatísticos obtidos indicam-nos, também, que os jovens que apresentam uma idade mais próxima da emancipação jovem e da inserção laboral são os que apresentam mais intenções de emigrar</w:t>
      </w:r>
      <w:r w:rsidR="0046250B" w:rsidRPr="0046250B">
        <w:rPr>
          <w:rFonts w:eastAsia="Times New Roman" w:cstheme="minorHAnsi"/>
          <w:color w:val="222222"/>
          <w:szCs w:val="20"/>
          <w:lang w:eastAsia="pt-PT"/>
        </w:rPr>
        <w:t xml:space="preserve"> (Gráficos 18 e 19)</w:t>
      </w:r>
      <w:r w:rsidRPr="0046250B">
        <w:rPr>
          <w:rFonts w:eastAsia="Times New Roman" w:cstheme="minorHAnsi"/>
          <w:color w:val="222222"/>
          <w:szCs w:val="20"/>
          <w:lang w:eastAsia="pt-PT"/>
        </w:rPr>
        <w:t>.</w:t>
      </w:r>
    </w:p>
    <w:p w:rsidR="001D5F33" w:rsidRDefault="001D5F33" w:rsidP="001D5F33">
      <w:pPr>
        <w:spacing w:after="0"/>
        <w:rPr>
          <w:rFonts w:eastAsia="Times New Roman" w:cstheme="minorHAnsi"/>
          <w:color w:val="222222"/>
          <w:szCs w:val="20"/>
          <w:lang w:eastAsia="pt-PT"/>
        </w:rPr>
      </w:pPr>
    </w:p>
    <w:p w:rsidR="0042233A" w:rsidRDefault="003A2DCD">
      <w:r w:rsidRPr="007C78A0">
        <w:rPr>
          <w:rFonts w:ascii="National Bold" w:hAnsi="National Bold"/>
          <w:noProof/>
          <w:lang w:eastAsia="pt-PT"/>
        </w:rPr>
        <w:drawing>
          <wp:inline distT="0" distB="0" distL="0" distR="0" wp14:anchorId="7711B642" wp14:editId="7D89F5E3">
            <wp:extent cx="5398851" cy="4202349"/>
            <wp:effectExtent l="0" t="0" r="0" b="8255"/>
            <wp:docPr id="31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A2DCD" w:rsidRDefault="003A2DCD"/>
    <w:p w:rsidR="004E2EF8" w:rsidRDefault="004E520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.1pt;margin-top:310.05pt;width:385.4pt;height:31.75pt;z-index:251673600;mso-height-percent:200;mso-height-percent:200;mso-width-relative:margin;mso-height-relative:margin" stroked="f">
            <v:textbox style="mso-next-textbox:#_x0000_s1037;mso-fit-shape-to-text:t">
              <w:txbxContent>
                <w:p w:rsidR="004E2EF8" w:rsidRPr="004E2EF8" w:rsidRDefault="004E2EF8">
                  <w:pPr>
                    <w:rPr>
                      <w:rFonts w:ascii="National Bold" w:hAnsi="National Bold"/>
                      <w:sz w:val="20"/>
                      <w:szCs w:val="20"/>
                    </w:rPr>
                  </w:pPr>
                  <w:r w:rsidRPr="004E2EF8">
                    <w:rPr>
                      <w:rFonts w:ascii="National Bold" w:hAnsi="National Bold"/>
                      <w:sz w:val="20"/>
                      <w:szCs w:val="20"/>
                    </w:rPr>
                    <w:t xml:space="preserve">Diferencial: </w:t>
                  </w:r>
                  <w:r>
                    <w:rPr>
                      <w:rFonts w:ascii="National Bold" w:hAnsi="National Bold"/>
                      <w:sz w:val="20"/>
                      <w:szCs w:val="20"/>
                    </w:rPr>
                    <w:t xml:space="preserve">    </w:t>
                  </w:r>
                  <w:r w:rsidRPr="004E2EF8">
                    <w:rPr>
                      <w:rFonts w:ascii="National Bold" w:hAnsi="National Bold"/>
                      <w:sz w:val="20"/>
                      <w:szCs w:val="20"/>
                    </w:rPr>
                    <w:t xml:space="preserve">-79,0%  </w:t>
                  </w:r>
                  <w:r>
                    <w:rPr>
                      <w:rFonts w:ascii="National Bold" w:hAnsi="National Bold"/>
                      <w:sz w:val="20"/>
                      <w:szCs w:val="20"/>
                    </w:rPr>
                    <w:t xml:space="preserve">            </w:t>
                  </w:r>
                  <w:r w:rsidRPr="004E2EF8">
                    <w:rPr>
                      <w:rFonts w:ascii="National Bold" w:hAnsi="National Bold"/>
                      <w:sz w:val="20"/>
                      <w:szCs w:val="20"/>
                    </w:rPr>
                    <w:t xml:space="preserve"> -70,7%   </w:t>
                  </w:r>
                  <w:r>
                    <w:rPr>
                      <w:rFonts w:ascii="National Bold" w:hAnsi="National Bold"/>
                      <w:sz w:val="20"/>
                      <w:szCs w:val="20"/>
                    </w:rPr>
                    <w:t xml:space="preserve">           </w:t>
                  </w:r>
                  <w:r w:rsidRPr="004E2EF8">
                    <w:rPr>
                      <w:rFonts w:ascii="National Bold" w:hAnsi="National Bol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ational Bold" w:hAnsi="National Bold"/>
                      <w:sz w:val="20"/>
                      <w:szCs w:val="20"/>
                    </w:rPr>
                    <w:t xml:space="preserve">-73,8%                </w:t>
                  </w:r>
                  <w:r w:rsidRPr="004E2EF8">
                    <w:rPr>
                      <w:rFonts w:ascii="National Bold" w:hAnsi="National Bold"/>
                      <w:sz w:val="20"/>
                      <w:szCs w:val="20"/>
                    </w:rPr>
                    <w:t xml:space="preserve">-68,3%    </w:t>
                  </w:r>
                  <w:r>
                    <w:rPr>
                      <w:rFonts w:ascii="National Bold" w:hAnsi="National Bold"/>
                      <w:sz w:val="20"/>
                      <w:szCs w:val="20"/>
                    </w:rPr>
                    <w:t xml:space="preserve">          </w:t>
                  </w:r>
                  <w:r w:rsidRPr="004E2EF8">
                    <w:rPr>
                      <w:rFonts w:ascii="National Bold" w:hAnsi="National Bold"/>
                      <w:sz w:val="20"/>
                      <w:szCs w:val="20"/>
                    </w:rPr>
                    <w:t>-85,4%</w:t>
                  </w:r>
                </w:p>
              </w:txbxContent>
            </v:textbox>
          </v:shape>
        </w:pict>
      </w:r>
      <w:r w:rsidR="003A2DCD" w:rsidRPr="003A2DCD">
        <w:rPr>
          <w:noProof/>
          <w:lang w:eastAsia="pt-PT"/>
        </w:rPr>
        <w:drawing>
          <wp:inline distT="0" distB="0" distL="0" distR="0" wp14:anchorId="30AB05AB" wp14:editId="2C0542DF">
            <wp:extent cx="5184475" cy="4580627"/>
            <wp:effectExtent l="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6A30" w:rsidRDefault="00EF13CC" w:rsidP="00632E33">
      <w:pPr>
        <w:jc w:val="center"/>
      </w:pPr>
      <w:r w:rsidRPr="00EF13CC">
        <w:rPr>
          <w:noProof/>
          <w:lang w:eastAsia="pt-PT"/>
        </w:rPr>
        <w:drawing>
          <wp:inline distT="0" distB="0" distL="0" distR="0" wp14:anchorId="60E31F01" wp14:editId="042959D6">
            <wp:extent cx="5340485" cy="3891064"/>
            <wp:effectExtent l="0" t="0" r="0" b="0"/>
            <wp:docPr id="32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F13CC" w:rsidRDefault="00EF13CC" w:rsidP="001D5F33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</w:p>
    <w:p w:rsidR="00EF13CC" w:rsidRDefault="004E520F" w:rsidP="00EF13CC">
      <w:pPr>
        <w:spacing w:after="0" w:line="360" w:lineRule="auto"/>
        <w:jc w:val="center"/>
        <w:rPr>
          <w:rFonts w:eastAsia="Times New Roman" w:cstheme="minorHAnsi"/>
          <w:color w:val="222222"/>
          <w:szCs w:val="20"/>
          <w:lang w:eastAsia="pt-PT"/>
        </w:rPr>
      </w:pPr>
      <w:r>
        <w:rPr>
          <w:rFonts w:eastAsia="Times New Roman" w:cstheme="minorHAnsi"/>
          <w:noProof/>
          <w:color w:val="222222"/>
          <w:szCs w:val="20"/>
          <w:lang w:eastAsia="pt-PT"/>
        </w:rPr>
        <w:pict>
          <v:shape id="_x0000_s1038" type="#_x0000_t202" style="position:absolute;left:0;text-align:left;margin-left:27.5pt;margin-top:220.55pt;width:344.6pt;height:26.6pt;z-index:251674624;mso-width-relative:margin;mso-height-relative:margin" stroked="f">
            <v:textbox style="mso-next-textbox:#_x0000_s1038">
              <w:txbxContent>
                <w:p w:rsidR="004E2EF8" w:rsidRPr="004E2EF8" w:rsidRDefault="004E2EF8" w:rsidP="004E2EF8">
                  <w:pPr>
                    <w:spacing w:line="360" w:lineRule="auto"/>
                    <w:rPr>
                      <w:rFonts w:ascii="National Bold" w:hAnsi="National Bold"/>
                      <w:sz w:val="20"/>
                      <w:szCs w:val="20"/>
                    </w:rPr>
                  </w:pPr>
                  <w:r w:rsidRPr="004E2EF8">
                    <w:rPr>
                      <w:rFonts w:ascii="National Bold" w:hAnsi="National Bold"/>
                      <w:sz w:val="20"/>
                      <w:szCs w:val="20"/>
                    </w:rPr>
                    <w:t xml:space="preserve">Diferencial: </w:t>
                  </w:r>
                  <w:r>
                    <w:rPr>
                      <w:rFonts w:ascii="National Bold" w:hAnsi="National Bold"/>
                      <w:sz w:val="20"/>
                      <w:szCs w:val="20"/>
                    </w:rPr>
                    <w:t xml:space="preserve">      </w:t>
                  </w:r>
                  <w:r w:rsidRPr="004E2EF8">
                    <w:rPr>
                      <w:rFonts w:ascii="National Bold" w:hAnsi="National Bold"/>
                      <w:sz w:val="20"/>
                      <w:szCs w:val="20"/>
                    </w:rPr>
                    <w:t xml:space="preserve"> 34,4%   </w:t>
                  </w:r>
                  <w:r>
                    <w:rPr>
                      <w:rFonts w:ascii="National Bold" w:hAnsi="National Bold"/>
                      <w:sz w:val="20"/>
                      <w:szCs w:val="20"/>
                    </w:rPr>
                    <w:t xml:space="preserve">         </w:t>
                  </w:r>
                  <w:r w:rsidRPr="004E2EF8">
                    <w:rPr>
                      <w:rFonts w:ascii="National Bold" w:hAnsi="National Bold"/>
                      <w:sz w:val="20"/>
                      <w:szCs w:val="20"/>
                    </w:rPr>
                    <w:t xml:space="preserve">38,5%  </w:t>
                  </w:r>
                  <w:r>
                    <w:rPr>
                      <w:rFonts w:ascii="National Bold" w:hAnsi="National Bold"/>
                      <w:sz w:val="20"/>
                      <w:szCs w:val="20"/>
                    </w:rPr>
                    <w:t xml:space="preserve">         </w:t>
                  </w:r>
                  <w:r w:rsidRPr="004E2EF8">
                    <w:rPr>
                      <w:rFonts w:ascii="National Bold" w:hAnsi="National Bold"/>
                      <w:sz w:val="20"/>
                      <w:szCs w:val="20"/>
                    </w:rPr>
                    <w:t xml:space="preserve"> 51,1%   </w:t>
                  </w:r>
                  <w:r>
                    <w:rPr>
                      <w:rFonts w:ascii="National Bold" w:hAnsi="National Bold"/>
                      <w:sz w:val="20"/>
                      <w:szCs w:val="20"/>
                    </w:rPr>
                    <w:t xml:space="preserve">           </w:t>
                  </w:r>
                  <w:r w:rsidRPr="004E2EF8">
                    <w:rPr>
                      <w:rFonts w:ascii="National Bold" w:hAnsi="National Bold"/>
                      <w:sz w:val="20"/>
                      <w:szCs w:val="20"/>
                    </w:rPr>
                    <w:t xml:space="preserve">27%  </w:t>
                  </w:r>
                  <w:r>
                    <w:rPr>
                      <w:rFonts w:ascii="National Bold" w:hAnsi="National Bold"/>
                      <w:sz w:val="20"/>
                      <w:szCs w:val="20"/>
                    </w:rPr>
                    <w:t xml:space="preserve">           </w:t>
                  </w:r>
                  <w:r w:rsidRPr="004E2EF8">
                    <w:rPr>
                      <w:rFonts w:ascii="National Bold" w:hAnsi="National Bold"/>
                      <w:sz w:val="20"/>
                      <w:szCs w:val="20"/>
                    </w:rPr>
                    <w:t xml:space="preserve"> -2,4%</w:t>
                  </w:r>
                </w:p>
              </w:txbxContent>
            </v:textbox>
          </v:shape>
        </w:pict>
      </w:r>
      <w:r w:rsidR="00EF13CC" w:rsidRPr="00EF13CC">
        <w:rPr>
          <w:rFonts w:eastAsia="Times New Roman" w:cstheme="minorHAnsi"/>
          <w:noProof/>
          <w:color w:val="222222"/>
          <w:szCs w:val="20"/>
          <w:lang w:eastAsia="pt-PT"/>
        </w:rPr>
        <w:drawing>
          <wp:inline distT="0" distB="0" distL="0" distR="0" wp14:anchorId="41680C82" wp14:editId="4FB49FAE">
            <wp:extent cx="5305425" cy="3762375"/>
            <wp:effectExtent l="0" t="0" r="0" b="0"/>
            <wp:docPr id="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F13CC" w:rsidRDefault="00EF13CC" w:rsidP="001D5F33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</w:p>
    <w:p w:rsidR="001D5F33" w:rsidRPr="009D6C69" w:rsidRDefault="001D5F33" w:rsidP="009D6C69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  <w:r w:rsidRPr="00AF3C4A">
        <w:rPr>
          <w:rFonts w:eastAsia="Times New Roman" w:cstheme="minorHAnsi"/>
          <w:color w:val="222222"/>
          <w:szCs w:val="20"/>
          <w:lang w:eastAsia="pt-PT"/>
        </w:rPr>
        <w:t>Quanto à relação das variáveis "Área de Estudos”</w:t>
      </w:r>
      <w:r w:rsidR="00934D39" w:rsidRPr="00AF3C4A">
        <w:rPr>
          <w:rFonts w:eastAsia="Times New Roman" w:cstheme="minorHAnsi"/>
          <w:color w:val="222222"/>
          <w:szCs w:val="20"/>
          <w:lang w:eastAsia="pt-PT"/>
        </w:rPr>
        <w:t>,</w:t>
      </w:r>
      <w:r w:rsidRPr="00AF3C4A">
        <w:rPr>
          <w:rFonts w:eastAsia="Times New Roman" w:cstheme="minorHAnsi"/>
          <w:color w:val="222222"/>
          <w:szCs w:val="20"/>
          <w:lang w:eastAsia="pt-PT"/>
        </w:rPr>
        <w:t xml:space="preserve"> “Realização de Programas de Mobilidade Internacional"</w:t>
      </w:r>
      <w:r w:rsidR="00934D39" w:rsidRPr="00AF3C4A">
        <w:rPr>
          <w:rFonts w:eastAsia="Times New Roman" w:cstheme="minorHAnsi"/>
          <w:color w:val="222222"/>
          <w:szCs w:val="20"/>
          <w:lang w:eastAsia="pt-PT"/>
        </w:rPr>
        <w:t xml:space="preserve"> e “Possibilidade de Emigrar”, </w:t>
      </w:r>
      <w:r w:rsidRPr="0027727C">
        <w:rPr>
          <w:rFonts w:eastAsia="Times New Roman" w:cstheme="minorHAnsi"/>
          <w:color w:val="222222"/>
          <w:szCs w:val="20"/>
          <w:lang w:eastAsia="pt-PT"/>
        </w:rPr>
        <w:t>o</w:t>
      </w:r>
      <w:r w:rsidR="00934D39" w:rsidRPr="0027727C">
        <w:rPr>
          <w:rFonts w:eastAsia="Times New Roman" w:cstheme="minorHAnsi"/>
          <w:color w:val="222222"/>
          <w:szCs w:val="20"/>
          <w:lang w:eastAsia="pt-PT"/>
        </w:rPr>
        <w:t>s</w:t>
      </w:r>
      <w:r w:rsidRPr="0027727C">
        <w:rPr>
          <w:rFonts w:eastAsia="Times New Roman" w:cstheme="minorHAnsi"/>
          <w:color w:val="222222"/>
          <w:szCs w:val="20"/>
          <w:lang w:eastAsia="pt-PT"/>
        </w:rPr>
        <w:t xml:space="preserve"> Gráfico</w:t>
      </w:r>
      <w:r w:rsidR="00934D39" w:rsidRPr="0027727C">
        <w:rPr>
          <w:rFonts w:eastAsia="Times New Roman" w:cstheme="minorHAnsi"/>
          <w:color w:val="222222"/>
          <w:szCs w:val="20"/>
          <w:lang w:eastAsia="pt-PT"/>
        </w:rPr>
        <w:t>s</w:t>
      </w:r>
      <w:r w:rsidRPr="0027727C">
        <w:rPr>
          <w:rFonts w:eastAsia="Times New Roman" w:cstheme="minorHAnsi"/>
          <w:color w:val="222222"/>
          <w:szCs w:val="20"/>
          <w:lang w:eastAsia="pt-PT"/>
        </w:rPr>
        <w:t xml:space="preserve"> </w:t>
      </w:r>
      <w:r w:rsidR="0027727C" w:rsidRPr="0027727C">
        <w:rPr>
          <w:rFonts w:eastAsia="Times New Roman" w:cstheme="minorHAnsi"/>
          <w:color w:val="222222"/>
          <w:szCs w:val="20"/>
          <w:lang w:eastAsia="pt-PT"/>
        </w:rPr>
        <w:t>20, 21, 22 e 23</w:t>
      </w:r>
      <w:r w:rsidRPr="00AF3C4A">
        <w:rPr>
          <w:rFonts w:eastAsia="Times New Roman" w:cstheme="minorHAnsi"/>
          <w:color w:val="222222"/>
          <w:szCs w:val="20"/>
          <w:lang w:eastAsia="pt-PT"/>
        </w:rPr>
        <w:t xml:space="preserve"> revela</w:t>
      </w:r>
      <w:r w:rsidR="00934D39" w:rsidRPr="00AF3C4A">
        <w:rPr>
          <w:rFonts w:eastAsia="Times New Roman" w:cstheme="minorHAnsi"/>
          <w:color w:val="222222"/>
          <w:szCs w:val="20"/>
          <w:lang w:eastAsia="pt-PT"/>
        </w:rPr>
        <w:t>m</w:t>
      </w:r>
      <w:r w:rsidR="0027727C">
        <w:rPr>
          <w:rFonts w:eastAsia="Times New Roman" w:cstheme="minorHAnsi"/>
          <w:color w:val="222222"/>
          <w:szCs w:val="20"/>
          <w:lang w:eastAsia="pt-PT"/>
        </w:rPr>
        <w:t xml:space="preserve"> </w:t>
      </w:r>
      <w:r w:rsidR="00AF3C4A" w:rsidRPr="00AF3C4A">
        <w:rPr>
          <w:rFonts w:eastAsia="Times New Roman" w:cstheme="minorHAnsi"/>
          <w:color w:val="222222"/>
          <w:szCs w:val="20"/>
          <w:lang w:eastAsia="pt-PT"/>
        </w:rPr>
        <w:t>a existência de mais intenções em emigrar nos jovens das áreas de Engenharia e Tecnologias e</w:t>
      </w:r>
      <w:r w:rsidR="0027727C">
        <w:rPr>
          <w:rFonts w:eastAsia="Times New Roman" w:cstheme="minorHAnsi"/>
          <w:color w:val="222222"/>
          <w:szCs w:val="20"/>
          <w:lang w:eastAsia="pt-PT"/>
        </w:rPr>
        <w:t xml:space="preserve"> Arquitetura e Artes. O Gráfico 23 permite, de resto, perceber que </w:t>
      </w:r>
      <w:r w:rsidR="00AF3C4A" w:rsidRPr="00AF3C4A">
        <w:rPr>
          <w:rFonts w:eastAsia="Times New Roman" w:cstheme="minorHAnsi"/>
          <w:color w:val="222222"/>
          <w:szCs w:val="20"/>
          <w:lang w:eastAsia="pt-PT"/>
        </w:rPr>
        <w:t>estas intenções s</w:t>
      </w:r>
      <w:r w:rsidR="0027727C">
        <w:rPr>
          <w:rFonts w:eastAsia="Times New Roman" w:cstheme="minorHAnsi"/>
          <w:color w:val="222222"/>
          <w:szCs w:val="20"/>
          <w:lang w:eastAsia="pt-PT"/>
        </w:rPr>
        <w:t xml:space="preserve">ão transversalmente identificadas em todas as áreas de estudo, dado que corrobora a informação atrás discutida e que assenta no facto de </w:t>
      </w:r>
      <w:r w:rsidR="00AF3C4A" w:rsidRPr="00AF3C4A">
        <w:rPr>
          <w:rFonts w:eastAsia="Times New Roman" w:cstheme="minorHAnsi"/>
          <w:color w:val="222222"/>
          <w:szCs w:val="20"/>
          <w:lang w:eastAsia="pt-PT"/>
        </w:rPr>
        <w:t xml:space="preserve">69% de inquiridos </w:t>
      </w:r>
      <w:r w:rsidR="0027727C">
        <w:rPr>
          <w:rFonts w:eastAsia="Times New Roman" w:cstheme="minorHAnsi"/>
          <w:color w:val="222222"/>
          <w:szCs w:val="20"/>
          <w:lang w:eastAsia="pt-PT"/>
        </w:rPr>
        <w:t>c</w:t>
      </w:r>
      <w:r w:rsidR="00AF3C4A" w:rsidRPr="00AF3C4A">
        <w:rPr>
          <w:rFonts w:eastAsia="Times New Roman" w:cstheme="minorHAnsi"/>
          <w:color w:val="222222"/>
          <w:szCs w:val="20"/>
          <w:lang w:eastAsia="pt-PT"/>
        </w:rPr>
        <w:t>onsidera</w:t>
      </w:r>
      <w:r w:rsidR="0027727C">
        <w:rPr>
          <w:rFonts w:eastAsia="Times New Roman" w:cstheme="minorHAnsi"/>
          <w:color w:val="222222"/>
          <w:szCs w:val="20"/>
          <w:lang w:eastAsia="pt-PT"/>
        </w:rPr>
        <w:t>rem a emigração</w:t>
      </w:r>
      <w:r w:rsidR="00AF3C4A" w:rsidRPr="00AF3C4A">
        <w:rPr>
          <w:rFonts w:eastAsia="Times New Roman" w:cstheme="minorHAnsi"/>
          <w:color w:val="222222"/>
          <w:szCs w:val="20"/>
          <w:lang w:eastAsia="pt-PT"/>
        </w:rPr>
        <w:t xml:space="preserve"> uma opção.  </w:t>
      </w:r>
    </w:p>
    <w:p w:rsidR="00EF13CC" w:rsidRDefault="00EF13CC" w:rsidP="000859CA">
      <w:pPr>
        <w:jc w:val="center"/>
      </w:pPr>
      <w:r w:rsidRPr="00EF13CC">
        <w:rPr>
          <w:noProof/>
          <w:lang w:eastAsia="pt-PT"/>
        </w:rPr>
        <w:lastRenderedPageBreak/>
        <w:drawing>
          <wp:inline distT="0" distB="0" distL="0" distR="0" wp14:anchorId="5F5EC8DA" wp14:editId="524C2996">
            <wp:extent cx="5400136" cy="3717985"/>
            <wp:effectExtent l="0" t="0" r="0" b="0"/>
            <wp:docPr id="33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F13CC" w:rsidRDefault="004E520F" w:rsidP="00D924D4">
      <w:pPr>
        <w:ind w:left="-284"/>
        <w:jc w:val="center"/>
      </w:pPr>
      <w:r>
        <w:rPr>
          <w:noProof/>
        </w:rPr>
        <w:pict>
          <v:shape id="_x0000_s1029" type="#_x0000_t202" style="position:absolute;left:0;text-align:left;margin-left:-1.05pt;margin-top:285.2pt;width:380.8pt;height:18.8pt;z-index:251663360;mso-width-relative:margin;mso-height-relative:margin" stroked="f">
            <v:textbox style="mso-next-textbox:#_x0000_s1029">
              <w:txbxContent>
                <w:p w:rsidR="00F232A7" w:rsidRPr="00D64053" w:rsidRDefault="00EF13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Diferencial:      -71,6%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F232A7" w:rsidRPr="00D64053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9D6C69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="00F232A7" w:rsidRPr="00D64053">
                    <w:rPr>
                      <w:b/>
                      <w:sz w:val="20"/>
                      <w:szCs w:val="20"/>
                    </w:rPr>
                    <w:t xml:space="preserve">-73,3% </w:t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D64053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9D6C69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F232A7" w:rsidRPr="00D64053">
                    <w:rPr>
                      <w:b/>
                      <w:sz w:val="20"/>
                      <w:szCs w:val="20"/>
                    </w:rPr>
                    <w:t xml:space="preserve">-79,2% </w:t>
                  </w:r>
                  <w:r w:rsidR="00D64053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232A7" w:rsidRPr="00D6405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F3C4A" w:rsidRPr="00D64053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0D2DDF">
                    <w:rPr>
                      <w:b/>
                      <w:sz w:val="20"/>
                      <w:szCs w:val="20"/>
                    </w:rPr>
                    <w:t>-</w:t>
                  </w:r>
                  <w:r w:rsidR="009D6C6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232A7" w:rsidRPr="00D64053">
                    <w:rPr>
                      <w:b/>
                      <w:sz w:val="20"/>
                      <w:szCs w:val="20"/>
                    </w:rPr>
                    <w:t xml:space="preserve">68,1% </w:t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D64053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F232A7" w:rsidRPr="00D64053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9D6C69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F232A7" w:rsidRPr="00D64053">
                    <w:rPr>
                      <w:b/>
                      <w:sz w:val="20"/>
                      <w:szCs w:val="20"/>
                    </w:rPr>
                    <w:t>-75,6%</w:t>
                  </w:r>
                </w:p>
              </w:txbxContent>
            </v:textbox>
          </v:shape>
        </w:pict>
      </w:r>
      <w:r w:rsidR="00EF13CC" w:rsidRPr="00EF13CC">
        <w:rPr>
          <w:noProof/>
          <w:lang w:eastAsia="pt-PT"/>
        </w:rPr>
        <w:drawing>
          <wp:inline distT="0" distB="0" distL="0" distR="0" wp14:anchorId="4EE449E4" wp14:editId="26F386F9">
            <wp:extent cx="5753819" cy="4330460"/>
            <wp:effectExtent l="0" t="0" r="0" b="0"/>
            <wp:docPr id="8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D579B" w:rsidRPr="00DD579B" w:rsidRDefault="00DD579B" w:rsidP="00DD579B"/>
    <w:p w:rsidR="008E77F6" w:rsidRDefault="008E77F6" w:rsidP="00937A13">
      <w:pPr>
        <w:tabs>
          <w:tab w:val="left" w:pos="4988"/>
        </w:tabs>
        <w:jc w:val="center"/>
      </w:pPr>
      <w:r w:rsidRPr="008E77F6">
        <w:rPr>
          <w:noProof/>
          <w:lang w:eastAsia="pt-PT"/>
        </w:rPr>
        <w:lastRenderedPageBreak/>
        <w:drawing>
          <wp:inline distT="0" distB="0" distL="0" distR="0" wp14:anchorId="678DBB72" wp14:editId="435CFF12">
            <wp:extent cx="5400040" cy="2827807"/>
            <wp:effectExtent l="0" t="0" r="0" b="0"/>
            <wp:docPr id="34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B70BB" w:rsidRDefault="003B70BB" w:rsidP="00937A13">
      <w:pPr>
        <w:tabs>
          <w:tab w:val="left" w:pos="4988"/>
        </w:tabs>
        <w:jc w:val="center"/>
      </w:pPr>
    </w:p>
    <w:p w:rsidR="005D71A3" w:rsidRPr="00A213D0" w:rsidRDefault="004E520F" w:rsidP="009D6C69">
      <w:pPr>
        <w:tabs>
          <w:tab w:val="left" w:pos="2350"/>
        </w:tabs>
        <w:ind w:firstLine="284"/>
        <w:jc w:val="center"/>
        <w:rPr>
          <w:b/>
        </w:rPr>
      </w:pPr>
      <w:r>
        <w:rPr>
          <w:b/>
          <w:noProof/>
        </w:rPr>
        <w:pict>
          <v:shape id="_x0000_s1030" type="#_x0000_t202" style="position:absolute;left:0;text-align:left;margin-left:25.2pt;margin-top:252.45pt;width:361.55pt;height:17.65pt;z-index:251665408;mso-width-relative:margin;mso-height-relative:margin" stroked="f">
            <v:textbox style="mso-next-textbox:#_x0000_s1030">
              <w:txbxContent>
                <w:p w:rsidR="00435536" w:rsidRPr="00A213D0" w:rsidRDefault="00435536">
                  <w:pPr>
                    <w:rPr>
                      <w:b/>
                      <w:sz w:val="20"/>
                      <w:szCs w:val="20"/>
                    </w:rPr>
                  </w:pPr>
                  <w:r w:rsidRPr="00A213D0">
                    <w:rPr>
                      <w:b/>
                      <w:sz w:val="20"/>
                      <w:szCs w:val="20"/>
                    </w:rPr>
                    <w:t xml:space="preserve">Diferencial:  </w:t>
                  </w:r>
                  <w:r w:rsidR="00A213D0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A213D0">
                    <w:rPr>
                      <w:b/>
                      <w:sz w:val="20"/>
                      <w:szCs w:val="20"/>
                    </w:rPr>
                    <w:t xml:space="preserve">    31% </w:t>
                  </w:r>
                  <w:r w:rsidR="001B7E5F" w:rsidRPr="00A213D0">
                    <w:rPr>
                      <w:b/>
                      <w:sz w:val="20"/>
                      <w:szCs w:val="20"/>
                    </w:rPr>
                    <w:t xml:space="preserve">             </w:t>
                  </w:r>
                  <w:r w:rsidR="00A21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B7E5F" w:rsidRPr="00A21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213D0">
                    <w:rPr>
                      <w:b/>
                      <w:sz w:val="20"/>
                      <w:szCs w:val="20"/>
                    </w:rPr>
                    <w:t xml:space="preserve">33,7% </w:t>
                  </w:r>
                  <w:r w:rsidR="001B7E5F" w:rsidRPr="00A213D0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Pr="00A213D0">
                    <w:rPr>
                      <w:b/>
                      <w:sz w:val="20"/>
                      <w:szCs w:val="20"/>
                    </w:rPr>
                    <w:t xml:space="preserve">    45%            36,6%           </w:t>
                  </w:r>
                  <w:r w:rsidR="00A213D0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A213D0">
                    <w:rPr>
                      <w:b/>
                      <w:sz w:val="20"/>
                      <w:szCs w:val="20"/>
                    </w:rPr>
                    <w:t xml:space="preserve"> 51,2%</w:t>
                  </w:r>
                </w:p>
              </w:txbxContent>
            </v:textbox>
          </v:shape>
        </w:pict>
      </w:r>
      <w:r w:rsidR="008E77F6" w:rsidRPr="00A213D0">
        <w:rPr>
          <w:b/>
          <w:noProof/>
          <w:lang w:eastAsia="pt-PT"/>
        </w:rPr>
        <w:drawing>
          <wp:inline distT="0" distB="0" distL="0" distR="0" wp14:anchorId="61B23CA3" wp14:editId="0DCD3706">
            <wp:extent cx="5067300" cy="3914775"/>
            <wp:effectExtent l="0" t="0" r="0" b="0"/>
            <wp:docPr id="9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37A13" w:rsidRDefault="00937A13" w:rsidP="005D71A3">
      <w:pPr>
        <w:tabs>
          <w:tab w:val="left" w:pos="2350"/>
        </w:tabs>
        <w:ind w:left="-142"/>
        <w:rPr>
          <w:rFonts w:eastAsia="Times New Roman" w:cstheme="minorHAnsi"/>
          <w:color w:val="222222"/>
          <w:szCs w:val="20"/>
          <w:lang w:eastAsia="pt-PT"/>
        </w:rPr>
      </w:pPr>
    </w:p>
    <w:p w:rsidR="00541941" w:rsidRPr="00CC1F7C" w:rsidRDefault="00664F68" w:rsidP="00CC1F7C">
      <w:pPr>
        <w:tabs>
          <w:tab w:val="left" w:pos="2350"/>
        </w:tabs>
        <w:spacing w:line="360" w:lineRule="auto"/>
        <w:ind w:left="-142"/>
        <w:jc w:val="both"/>
        <w:rPr>
          <w:rFonts w:eastAsia="Times New Roman" w:cstheme="minorHAnsi"/>
          <w:color w:val="222222"/>
          <w:szCs w:val="20"/>
          <w:lang w:eastAsia="pt-PT"/>
        </w:rPr>
        <w:sectPr w:rsidR="00541941" w:rsidRPr="00CC1F7C" w:rsidSect="00EF7F1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7767F">
        <w:rPr>
          <w:rFonts w:eastAsia="Times New Roman" w:cstheme="minorHAnsi"/>
          <w:color w:val="222222"/>
          <w:szCs w:val="20"/>
          <w:lang w:eastAsia="pt-PT"/>
        </w:rPr>
        <w:t>A análise do</w:t>
      </w:r>
      <w:r w:rsidR="001B0337" w:rsidRPr="00F7767F">
        <w:rPr>
          <w:rFonts w:eastAsia="Times New Roman" w:cstheme="minorHAnsi"/>
          <w:color w:val="222222"/>
          <w:szCs w:val="20"/>
          <w:lang w:eastAsia="pt-PT"/>
        </w:rPr>
        <w:t xml:space="preserve"> Gráfic</w:t>
      </w:r>
      <w:r w:rsidRPr="00F7767F">
        <w:rPr>
          <w:rFonts w:eastAsia="Times New Roman" w:cstheme="minorHAnsi"/>
          <w:color w:val="222222"/>
          <w:szCs w:val="20"/>
          <w:lang w:eastAsia="pt-PT"/>
        </w:rPr>
        <w:t>o 25 permite relacionar a participação em programas de mobilidade internacional com médias tendencialmente mais elevadas (média 19</w:t>
      </w:r>
      <w:r w:rsidR="003E0B93">
        <w:rPr>
          <w:rFonts w:eastAsia="Times New Roman" w:cstheme="minorHAnsi"/>
          <w:color w:val="222222"/>
          <w:szCs w:val="20"/>
          <w:lang w:eastAsia="pt-PT"/>
        </w:rPr>
        <w:t xml:space="preserve"> e</w:t>
      </w:r>
      <w:r w:rsidRPr="00F7767F">
        <w:rPr>
          <w:rFonts w:eastAsia="Times New Roman" w:cstheme="minorHAnsi"/>
          <w:color w:val="222222"/>
          <w:szCs w:val="20"/>
          <w:lang w:eastAsia="pt-PT"/>
        </w:rPr>
        <w:t xml:space="preserve"> 18</w:t>
      </w:r>
      <w:r w:rsidRPr="00C11CC6">
        <w:rPr>
          <w:rFonts w:eastAsia="Times New Roman" w:cstheme="minorHAnsi"/>
          <w:color w:val="222222"/>
          <w:szCs w:val="20"/>
          <w:lang w:eastAsia="pt-PT"/>
        </w:rPr>
        <w:t xml:space="preserve">). </w:t>
      </w:r>
      <w:r w:rsidR="00C11CC6" w:rsidRPr="00C11CC6">
        <w:rPr>
          <w:rFonts w:eastAsia="Times New Roman" w:cstheme="minorHAnsi"/>
          <w:color w:val="222222"/>
          <w:szCs w:val="20"/>
          <w:lang w:eastAsia="pt-PT"/>
        </w:rPr>
        <w:t xml:space="preserve">Esta associação </w:t>
      </w:r>
      <w:r w:rsidR="003E0B93">
        <w:rPr>
          <w:rFonts w:eastAsia="Times New Roman" w:cstheme="minorHAnsi"/>
          <w:color w:val="222222"/>
          <w:szCs w:val="20"/>
          <w:lang w:eastAsia="pt-PT"/>
        </w:rPr>
        <w:t xml:space="preserve">- </w:t>
      </w:r>
      <w:r w:rsidR="00C11CC6" w:rsidRPr="00C11CC6">
        <w:rPr>
          <w:rFonts w:eastAsia="Times New Roman" w:cstheme="minorHAnsi"/>
          <w:color w:val="222222"/>
          <w:szCs w:val="20"/>
          <w:lang w:eastAsia="pt-PT"/>
        </w:rPr>
        <w:t>que poderá ser explorada em estudos posteriores</w:t>
      </w:r>
      <w:r w:rsidR="003E0B93">
        <w:rPr>
          <w:rFonts w:eastAsia="Times New Roman" w:cstheme="minorHAnsi"/>
          <w:color w:val="222222"/>
          <w:szCs w:val="20"/>
          <w:lang w:eastAsia="pt-PT"/>
        </w:rPr>
        <w:t xml:space="preserve"> -</w:t>
      </w:r>
      <w:r w:rsidR="00C11CC6" w:rsidRPr="00C11CC6">
        <w:rPr>
          <w:rFonts w:eastAsia="Times New Roman" w:cstheme="minorHAnsi"/>
          <w:color w:val="222222"/>
          <w:szCs w:val="20"/>
          <w:lang w:eastAsia="pt-PT"/>
        </w:rPr>
        <w:t xml:space="preserve"> pode dever-se ao facto do acesso a programas de mobilidade internacional implicar que os estudantes interessados em participar apresentem bons resultados académicos.</w:t>
      </w:r>
      <w:r w:rsidR="00C11CC6">
        <w:rPr>
          <w:rFonts w:eastAsia="Times New Roman" w:cstheme="minorHAnsi"/>
          <w:color w:val="222222"/>
          <w:szCs w:val="20"/>
          <w:lang w:eastAsia="pt-PT"/>
        </w:rPr>
        <w:t xml:space="preserve"> </w:t>
      </w:r>
    </w:p>
    <w:p w:rsidR="001B0337" w:rsidRDefault="001B0337" w:rsidP="004A6DF6">
      <w:pPr>
        <w:tabs>
          <w:tab w:val="left" w:pos="2350"/>
        </w:tabs>
      </w:pPr>
    </w:p>
    <w:p w:rsidR="004A6DF6" w:rsidRPr="005B6720" w:rsidRDefault="00937A13" w:rsidP="005B6720">
      <w:pPr>
        <w:tabs>
          <w:tab w:val="left" w:pos="2350"/>
        </w:tabs>
        <w:ind w:left="-142"/>
        <w:jc w:val="center"/>
        <w:sectPr w:rsidR="004A6DF6" w:rsidRPr="005B6720" w:rsidSect="004A6DF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B464B7">
        <w:rPr>
          <w:noProof/>
          <w:sz w:val="18"/>
          <w:szCs w:val="18"/>
          <w:lang w:eastAsia="pt-PT"/>
        </w:rPr>
        <w:drawing>
          <wp:inline distT="0" distB="0" distL="0" distR="0" wp14:anchorId="14C493AF" wp14:editId="54626462">
            <wp:extent cx="8566030" cy="4002657"/>
            <wp:effectExtent l="0" t="0" r="6985" b="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D48E6" w:rsidRDefault="008D48E6" w:rsidP="00CC1F7C"/>
    <w:p w:rsidR="008D48E6" w:rsidRDefault="004E520F" w:rsidP="00AC3025">
      <w:pPr>
        <w:tabs>
          <w:tab w:val="left" w:pos="2350"/>
        </w:tabs>
        <w:ind w:left="-567"/>
      </w:pPr>
      <w:r>
        <w:rPr>
          <w:noProof/>
        </w:rPr>
        <w:pict>
          <v:shape id="_x0000_s1031" type="#_x0000_t202" style="position:absolute;left:0;text-align:left;margin-left:-23.6pt;margin-top:297.6pt;width:482pt;height:18.8pt;z-index:251667456;mso-width-relative:margin;mso-height-relative:margin" stroked="f">
            <v:textbox style="mso-next-textbox:#_x0000_s1031">
              <w:txbxContent>
                <w:p w:rsidR="0092619A" w:rsidRPr="00AC3025" w:rsidRDefault="0092619A">
                  <w:pPr>
                    <w:rPr>
                      <w:b/>
                      <w:sz w:val="20"/>
                      <w:szCs w:val="20"/>
                    </w:rPr>
                  </w:pPr>
                  <w:r w:rsidRPr="00AC3025">
                    <w:rPr>
                      <w:b/>
                      <w:sz w:val="18"/>
                      <w:szCs w:val="18"/>
                    </w:rPr>
                    <w:t>Diferencial:</w:t>
                  </w:r>
                  <w:r w:rsidR="00D72C3F" w:rsidRPr="00AC302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37A13" w:rsidRPr="00AC3025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AC3025" w:rsidRPr="00AC302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72268" w:rsidRPr="00AC302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C3025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="00972268" w:rsidRPr="00AC3025">
                    <w:rPr>
                      <w:b/>
                      <w:sz w:val="18"/>
                      <w:szCs w:val="18"/>
                    </w:rPr>
                    <w:t xml:space="preserve"> -</w:t>
                  </w:r>
                  <w:r w:rsidR="00AC3025" w:rsidRPr="00AC3025"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="00937A13" w:rsidRPr="00AC3025">
                    <w:rPr>
                      <w:b/>
                      <w:sz w:val="18"/>
                      <w:szCs w:val="18"/>
                    </w:rPr>
                    <w:t xml:space="preserve">  -42,9%   </w:t>
                  </w:r>
                  <w:r w:rsidR="00AC302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37A13" w:rsidRPr="00AC3025">
                    <w:rPr>
                      <w:b/>
                      <w:sz w:val="18"/>
                      <w:szCs w:val="18"/>
                    </w:rPr>
                    <w:t xml:space="preserve">-48,6%   -63,9%  -66,9%  </w:t>
                  </w:r>
                  <w:r w:rsidRPr="00AC3025">
                    <w:rPr>
                      <w:b/>
                      <w:sz w:val="18"/>
                      <w:szCs w:val="18"/>
                    </w:rPr>
                    <w:t xml:space="preserve">-71,9% </w:t>
                  </w:r>
                  <w:r w:rsidR="00937A13" w:rsidRPr="00AC302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C3025">
                    <w:rPr>
                      <w:b/>
                      <w:sz w:val="18"/>
                      <w:szCs w:val="18"/>
                    </w:rPr>
                    <w:t xml:space="preserve">-72,2% </w:t>
                  </w:r>
                  <w:r w:rsidR="00801FE4" w:rsidRPr="00AC302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C302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C3025">
                    <w:rPr>
                      <w:b/>
                      <w:sz w:val="18"/>
                      <w:szCs w:val="18"/>
                    </w:rPr>
                    <w:t xml:space="preserve">-69,3%  </w:t>
                  </w:r>
                  <w:r w:rsidR="00AC302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F61DB" w:rsidRPr="00AC3025">
                    <w:rPr>
                      <w:b/>
                      <w:sz w:val="18"/>
                      <w:szCs w:val="18"/>
                    </w:rPr>
                    <w:t>-80,7%</w:t>
                  </w:r>
                  <w:r w:rsidR="00AC3025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AC3025">
                    <w:rPr>
                      <w:b/>
                      <w:sz w:val="18"/>
                      <w:szCs w:val="18"/>
                    </w:rPr>
                    <w:t>-93,2%</w:t>
                  </w:r>
                  <w:r w:rsidRPr="00AC3025">
                    <w:rPr>
                      <w:b/>
                      <w:sz w:val="20"/>
                      <w:szCs w:val="20"/>
                    </w:rPr>
                    <w:t xml:space="preserve">  -100%</w:t>
                  </w:r>
                  <w:r w:rsidR="000F61DB" w:rsidRPr="00AC302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37A13" w:rsidRPr="00AC302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C3025">
                    <w:rPr>
                      <w:b/>
                      <w:sz w:val="20"/>
                      <w:szCs w:val="20"/>
                    </w:rPr>
                    <w:t>-79,5%</w:t>
                  </w:r>
                </w:p>
              </w:txbxContent>
            </v:textbox>
          </v:shape>
        </w:pict>
      </w:r>
      <w:r w:rsidR="00AC3025" w:rsidRPr="00AC3025">
        <w:rPr>
          <w:noProof/>
          <w:lang w:eastAsia="pt-PT"/>
        </w:rPr>
        <w:drawing>
          <wp:inline distT="0" distB="0" distL="0" distR="0" wp14:anchorId="5DB1EC33" wp14:editId="0DBF5040">
            <wp:extent cx="6267642" cy="4348716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E0B93" w:rsidRDefault="003E0B93" w:rsidP="003E0B93">
      <w:pPr>
        <w:tabs>
          <w:tab w:val="left" w:pos="2350"/>
        </w:tabs>
        <w:spacing w:line="360" w:lineRule="auto"/>
        <w:ind w:left="-142"/>
        <w:jc w:val="both"/>
        <w:rPr>
          <w:rFonts w:eastAsia="Times New Roman" w:cstheme="minorHAnsi"/>
          <w:color w:val="222222"/>
          <w:szCs w:val="20"/>
          <w:lang w:eastAsia="pt-PT"/>
        </w:rPr>
      </w:pPr>
    </w:p>
    <w:p w:rsidR="003E0B93" w:rsidRDefault="003E0B93" w:rsidP="003E0B93">
      <w:pPr>
        <w:tabs>
          <w:tab w:val="left" w:pos="2350"/>
        </w:tabs>
        <w:spacing w:line="360" w:lineRule="auto"/>
        <w:ind w:left="-142"/>
        <w:jc w:val="both"/>
        <w:rPr>
          <w:rFonts w:eastAsia="Times New Roman" w:cstheme="minorHAnsi"/>
          <w:color w:val="222222"/>
          <w:szCs w:val="20"/>
          <w:lang w:eastAsia="pt-PT"/>
        </w:rPr>
      </w:pPr>
      <w:r w:rsidRPr="00C11CC6">
        <w:rPr>
          <w:rFonts w:eastAsia="Times New Roman" w:cstheme="minorHAnsi"/>
          <w:color w:val="222222"/>
          <w:szCs w:val="20"/>
          <w:lang w:eastAsia="pt-PT"/>
        </w:rPr>
        <w:t>Por outro lado, a leitura dos Gráficos 26 e 27 sugere alguma falta de clareza para estabelecer qualquer correlação quanto às intenções em emigrar. Todavia, os resultados obtidos parecem indicar que alunos com</w:t>
      </w:r>
      <w:r w:rsidRPr="00F7767F">
        <w:rPr>
          <w:rFonts w:eastAsia="Times New Roman" w:cstheme="minorHAnsi"/>
          <w:color w:val="222222"/>
          <w:szCs w:val="20"/>
          <w:lang w:eastAsia="pt-PT"/>
        </w:rPr>
        <w:t xml:space="preserve"> médias na ordem dos 13 e 14 valores são os que revelam ter mais intenções em emigrar.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 </w:t>
      </w:r>
    </w:p>
    <w:p w:rsidR="002976BD" w:rsidRDefault="002976BD" w:rsidP="008D48E6">
      <w:pPr>
        <w:tabs>
          <w:tab w:val="left" w:pos="2350"/>
        </w:tabs>
      </w:pPr>
    </w:p>
    <w:p w:rsidR="005B6720" w:rsidRDefault="000C4DD7" w:rsidP="00144623">
      <w:pPr>
        <w:tabs>
          <w:tab w:val="left" w:pos="2350"/>
        </w:tabs>
        <w:ind w:left="-851"/>
      </w:pPr>
      <w:r w:rsidRPr="000C4DD7">
        <w:rPr>
          <w:noProof/>
          <w:lang w:eastAsia="pt-PT"/>
        </w:rPr>
        <w:lastRenderedPageBreak/>
        <w:drawing>
          <wp:inline distT="0" distB="0" distL="0" distR="0" wp14:anchorId="7F76540E" wp14:editId="79838EC0">
            <wp:extent cx="6712085" cy="5768502"/>
            <wp:effectExtent l="0" t="0" r="0" b="3810"/>
            <wp:docPr id="14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C4DD7" w:rsidRDefault="004E520F" w:rsidP="005B6720">
      <w:pPr>
        <w:tabs>
          <w:tab w:val="left" w:pos="2350"/>
        </w:tabs>
        <w:ind w:left="-709"/>
        <w:jc w:val="center"/>
      </w:pPr>
      <w:r>
        <w:rPr>
          <w:noProof/>
        </w:rPr>
        <w:lastRenderedPageBreak/>
        <w:pict>
          <v:shape id="_x0000_s1032" type="#_x0000_t202" style="position:absolute;left:0;text-align:left;margin-left:-29.8pt;margin-top:302.5pt;width:518.7pt;height:19.5pt;z-index:251669504;mso-width-relative:margin;mso-height-relative:margin" stroked="f">
            <v:textbox style="mso-next-textbox:#_x0000_s1032">
              <w:txbxContent>
                <w:p w:rsidR="00FD612B" w:rsidRPr="00A62D3B" w:rsidRDefault="00FD612B">
                  <w:pPr>
                    <w:rPr>
                      <w:rFonts w:ascii="National Bold" w:hAnsi="National Bold"/>
                      <w:sz w:val="20"/>
                      <w:szCs w:val="20"/>
                    </w:rPr>
                  </w:pPr>
                  <w:r w:rsidRPr="00A62D3B">
                    <w:rPr>
                      <w:b/>
                      <w:sz w:val="20"/>
                      <w:szCs w:val="20"/>
                    </w:rPr>
                    <w:t>Diferencial:</w:t>
                  </w:r>
                  <w:r w:rsidR="00961C05" w:rsidRPr="00A62D3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A62D3B">
                    <w:rPr>
                      <w:b/>
                      <w:sz w:val="20"/>
                      <w:szCs w:val="20"/>
                    </w:rPr>
                    <w:t xml:space="preserve"> -       </w:t>
                  </w:r>
                  <w:r w:rsidR="005B6720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5248A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B6720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62D3B">
                    <w:rPr>
                      <w:b/>
                      <w:sz w:val="20"/>
                      <w:szCs w:val="20"/>
                    </w:rPr>
                    <w:t xml:space="preserve">28,6%  </w:t>
                  </w:r>
                  <w:r w:rsidR="005B6720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62D3B">
                    <w:rPr>
                      <w:b/>
                      <w:sz w:val="20"/>
                      <w:szCs w:val="20"/>
                    </w:rPr>
                    <w:t xml:space="preserve"> 37,1%  </w:t>
                  </w:r>
                  <w:r w:rsidR="005B6720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62D3B">
                    <w:rPr>
                      <w:b/>
                      <w:sz w:val="20"/>
                      <w:szCs w:val="20"/>
                    </w:rPr>
                    <w:t xml:space="preserve"> 24,6% </w:t>
                  </w:r>
                  <w:r w:rsidR="00961C05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5248A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B6720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62D3B">
                    <w:rPr>
                      <w:b/>
                      <w:sz w:val="20"/>
                      <w:szCs w:val="20"/>
                    </w:rPr>
                    <w:t xml:space="preserve">33,7% </w:t>
                  </w:r>
                  <w:r w:rsidR="005B6720" w:rsidRPr="00A62D3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A62D3B">
                    <w:rPr>
                      <w:b/>
                      <w:sz w:val="20"/>
                      <w:szCs w:val="20"/>
                    </w:rPr>
                    <w:t xml:space="preserve">  36,7% </w:t>
                  </w:r>
                  <w:r w:rsidR="005B6720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62D3B">
                    <w:rPr>
                      <w:b/>
                      <w:sz w:val="20"/>
                      <w:szCs w:val="20"/>
                    </w:rPr>
                    <w:t xml:space="preserve"> 40,2%   </w:t>
                  </w:r>
                  <w:r w:rsidR="005B6720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62D3B">
                    <w:rPr>
                      <w:b/>
                      <w:sz w:val="20"/>
                      <w:szCs w:val="20"/>
                    </w:rPr>
                    <w:t>43,6%</w:t>
                  </w:r>
                  <w:r w:rsidR="005B6720" w:rsidRPr="00A62D3B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A62D3B">
                    <w:rPr>
                      <w:b/>
                      <w:sz w:val="20"/>
                      <w:szCs w:val="20"/>
                    </w:rPr>
                    <w:t xml:space="preserve"> 32,6%</w:t>
                  </w:r>
                  <w:r w:rsidR="005B6720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5248A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62D3B">
                    <w:rPr>
                      <w:b/>
                      <w:sz w:val="20"/>
                      <w:szCs w:val="20"/>
                    </w:rPr>
                    <w:t xml:space="preserve">  43,2%  </w:t>
                  </w:r>
                  <w:r w:rsidR="00607475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5248A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62D3B">
                    <w:rPr>
                      <w:b/>
                      <w:sz w:val="20"/>
                      <w:szCs w:val="20"/>
                    </w:rPr>
                    <w:t>23,8%</w:t>
                  </w:r>
                  <w:r w:rsidR="00775159" w:rsidRPr="00A62D3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607475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B6720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5248A" w:rsidRPr="00A62D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75159" w:rsidRPr="00A62D3B">
                    <w:rPr>
                      <w:b/>
                      <w:sz w:val="20"/>
                      <w:szCs w:val="20"/>
                    </w:rPr>
                    <w:t>38,5%</w:t>
                  </w:r>
                  <w:r w:rsidR="0065248A" w:rsidRPr="00A62D3B">
                    <w:rPr>
                      <w:rFonts w:ascii="National Bold" w:hAnsi="National Bold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="005B6720" w:rsidRPr="005B6720">
        <w:rPr>
          <w:noProof/>
          <w:lang w:eastAsia="pt-PT"/>
        </w:rPr>
        <w:drawing>
          <wp:inline distT="0" distB="0" distL="0" distR="0" wp14:anchorId="47084AB8" wp14:editId="24274F22">
            <wp:extent cx="6638039" cy="4306186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976BD" w:rsidRDefault="002976BD" w:rsidP="008D48E6">
      <w:pPr>
        <w:tabs>
          <w:tab w:val="left" w:pos="2350"/>
        </w:tabs>
      </w:pPr>
    </w:p>
    <w:p w:rsidR="004C3D50" w:rsidRDefault="006552F2" w:rsidP="00FE336D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  <w:r>
        <w:rPr>
          <w:rFonts w:eastAsia="Times New Roman" w:cstheme="minorHAnsi"/>
          <w:color w:val="222222"/>
          <w:szCs w:val="20"/>
          <w:lang w:eastAsia="pt-PT"/>
        </w:rPr>
        <w:t>Os</w:t>
      </w:r>
      <w:r w:rsidR="00AF65C5">
        <w:rPr>
          <w:rFonts w:eastAsia="Times New Roman" w:cstheme="minorHAnsi"/>
          <w:color w:val="222222"/>
          <w:szCs w:val="20"/>
          <w:lang w:eastAsia="pt-PT"/>
        </w:rPr>
        <w:t xml:space="preserve"> gráficos seguintes </w:t>
      </w:r>
      <w:r w:rsidR="00DB7300" w:rsidRPr="000005DA">
        <w:rPr>
          <w:rFonts w:eastAsia="Times New Roman" w:cstheme="minorHAnsi"/>
          <w:color w:val="222222"/>
          <w:szCs w:val="20"/>
          <w:lang w:eastAsia="pt-PT"/>
        </w:rPr>
        <w:t>revela</w:t>
      </w:r>
      <w:r w:rsidR="00AF65C5">
        <w:rPr>
          <w:rFonts w:eastAsia="Times New Roman" w:cstheme="minorHAnsi"/>
          <w:color w:val="222222"/>
          <w:szCs w:val="20"/>
          <w:lang w:eastAsia="pt-PT"/>
        </w:rPr>
        <w:t>m que</w:t>
      </w:r>
      <w:r>
        <w:rPr>
          <w:rFonts w:eastAsia="Times New Roman" w:cstheme="minorHAnsi"/>
          <w:color w:val="222222"/>
          <w:szCs w:val="20"/>
          <w:lang w:eastAsia="pt-PT"/>
        </w:rPr>
        <w:t>,</w:t>
      </w:r>
      <w:r w:rsidR="00AF65C5">
        <w:rPr>
          <w:rFonts w:eastAsia="Times New Roman" w:cstheme="minorHAnsi"/>
          <w:color w:val="222222"/>
          <w:szCs w:val="20"/>
          <w:lang w:eastAsia="pt-PT"/>
        </w:rPr>
        <w:t xml:space="preserve"> transversalmente</w:t>
      </w:r>
      <w:r>
        <w:rPr>
          <w:rFonts w:eastAsia="Times New Roman" w:cstheme="minorHAnsi"/>
          <w:color w:val="222222"/>
          <w:szCs w:val="20"/>
          <w:lang w:eastAsia="pt-PT"/>
        </w:rPr>
        <w:t>,</w:t>
      </w:r>
      <w:r w:rsidR="00AF65C5">
        <w:rPr>
          <w:rFonts w:eastAsia="Times New Roman" w:cstheme="minorHAnsi"/>
          <w:color w:val="222222"/>
          <w:szCs w:val="20"/>
          <w:lang w:eastAsia="pt-PT"/>
        </w:rPr>
        <w:t xml:space="preserve"> não há diferenças significativas relativamente ao facto dos estudantes serem ou não deslocados. Da análise dos Gráficos 28 e 29 estaca-se sobretudo a não-participação em programas de mobilidade internacional. </w:t>
      </w:r>
      <w:r w:rsidR="00056B9C" w:rsidRPr="000005DA">
        <w:rPr>
          <w:rFonts w:eastAsia="Times New Roman" w:cstheme="minorHAnsi"/>
          <w:color w:val="222222"/>
          <w:szCs w:val="20"/>
          <w:lang w:eastAsia="pt-PT"/>
        </w:rPr>
        <w:t>Relativamente à possibilidade de emigrar,</w:t>
      </w:r>
      <w:r w:rsidR="008205E3" w:rsidRPr="000005DA">
        <w:rPr>
          <w:rFonts w:eastAsia="Times New Roman" w:cstheme="minorHAnsi"/>
          <w:color w:val="222222"/>
          <w:szCs w:val="20"/>
          <w:lang w:eastAsia="pt-PT"/>
        </w:rPr>
        <w:t xml:space="preserve"> são os estudantes </w:t>
      </w:r>
      <w:r w:rsidR="00FE336D">
        <w:rPr>
          <w:rFonts w:eastAsia="Times New Roman" w:cstheme="minorHAnsi"/>
          <w:color w:val="222222"/>
          <w:szCs w:val="20"/>
          <w:lang w:eastAsia="pt-PT"/>
        </w:rPr>
        <w:t>não-</w:t>
      </w:r>
      <w:r w:rsidR="008205E3" w:rsidRPr="000005DA">
        <w:rPr>
          <w:rFonts w:eastAsia="Times New Roman" w:cstheme="minorHAnsi"/>
          <w:color w:val="222222"/>
          <w:szCs w:val="20"/>
          <w:lang w:eastAsia="pt-PT"/>
        </w:rPr>
        <w:t xml:space="preserve">deslocados os que apresentam maior interesse </w:t>
      </w:r>
      <w:r>
        <w:rPr>
          <w:rFonts w:eastAsia="Times New Roman" w:cstheme="minorHAnsi"/>
          <w:color w:val="222222"/>
          <w:szCs w:val="20"/>
          <w:lang w:eastAsia="pt-PT"/>
        </w:rPr>
        <w:t>em</w:t>
      </w:r>
      <w:r w:rsidR="00FE336D">
        <w:rPr>
          <w:rFonts w:eastAsia="Times New Roman" w:cstheme="minorHAnsi"/>
          <w:color w:val="222222"/>
          <w:szCs w:val="20"/>
          <w:lang w:eastAsia="pt-PT"/>
        </w:rPr>
        <w:t xml:space="preserve"> considerar tal possibilidade</w:t>
      </w:r>
      <w:r w:rsidR="008205E3" w:rsidRPr="000005DA">
        <w:rPr>
          <w:rFonts w:eastAsia="Times New Roman" w:cstheme="minorHAnsi"/>
          <w:color w:val="222222"/>
          <w:szCs w:val="20"/>
          <w:lang w:eastAsia="pt-PT"/>
        </w:rPr>
        <w:t xml:space="preserve">, embora </w:t>
      </w:r>
      <w:r w:rsidR="00FE336D">
        <w:rPr>
          <w:rFonts w:eastAsia="Times New Roman" w:cstheme="minorHAnsi"/>
          <w:color w:val="222222"/>
          <w:szCs w:val="20"/>
          <w:lang w:eastAsia="pt-PT"/>
        </w:rPr>
        <w:t>os difer</w:t>
      </w:r>
      <w:r>
        <w:rPr>
          <w:rFonts w:eastAsia="Times New Roman" w:cstheme="minorHAnsi"/>
          <w:color w:val="222222"/>
          <w:szCs w:val="20"/>
          <w:lang w:eastAsia="pt-PT"/>
        </w:rPr>
        <w:t>enciais do Gráfico 31 não revele</w:t>
      </w:r>
      <w:r w:rsidR="00FE336D">
        <w:rPr>
          <w:rFonts w:eastAsia="Times New Roman" w:cstheme="minorHAnsi"/>
          <w:color w:val="222222"/>
          <w:szCs w:val="20"/>
          <w:lang w:eastAsia="pt-PT"/>
        </w:rPr>
        <w:t>m diferenças significativas entre estudantes deslocados e não-deslocados.</w:t>
      </w:r>
    </w:p>
    <w:p w:rsidR="005B4B39" w:rsidRPr="00FE336D" w:rsidRDefault="005B4B39" w:rsidP="00FE336D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</w:p>
    <w:p w:rsidR="00076D74" w:rsidRDefault="0007214B" w:rsidP="002538D9">
      <w:pPr>
        <w:tabs>
          <w:tab w:val="left" w:pos="2350"/>
        </w:tabs>
        <w:jc w:val="center"/>
      </w:pPr>
      <w:r w:rsidRPr="004C3D50">
        <w:rPr>
          <w:rFonts w:ascii="National Bold" w:hAnsi="National Bold"/>
          <w:b/>
          <w:noProof/>
          <w:lang w:eastAsia="pt-PT"/>
        </w:rPr>
        <w:lastRenderedPageBreak/>
        <w:drawing>
          <wp:inline distT="0" distB="0" distL="0" distR="0" wp14:anchorId="1313A079" wp14:editId="7300029E">
            <wp:extent cx="5218981" cy="2579298"/>
            <wp:effectExtent l="0" t="0" r="1270" b="0"/>
            <wp:docPr id="16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D262F" w:rsidRDefault="004E520F" w:rsidP="009D262F">
      <w:pPr>
        <w:tabs>
          <w:tab w:val="left" w:pos="2350"/>
        </w:tabs>
        <w:jc w:val="center"/>
      </w:pPr>
      <w:r>
        <w:rPr>
          <w:noProof/>
          <w:lang w:eastAsia="pt-PT"/>
        </w:rPr>
        <w:pict>
          <v:shape id="_x0000_s1034" type="#_x0000_t202" style="position:absolute;left:0;text-align:left;margin-left:31.9pt;margin-top:170.9pt;width:317.7pt;height:16.95pt;z-index:251670528;mso-width-relative:margin;mso-height-relative:margin" stroked="f">
            <v:textbox style="mso-next-textbox:#_x0000_s1034">
              <w:txbxContent>
                <w:p w:rsidR="004D68D3" w:rsidRPr="002538D9" w:rsidRDefault="004D68D3" w:rsidP="004D68D3">
                  <w:pPr>
                    <w:rPr>
                      <w:b/>
                      <w:sz w:val="20"/>
                      <w:szCs w:val="20"/>
                    </w:rPr>
                  </w:pPr>
                  <w:r w:rsidRPr="002538D9">
                    <w:rPr>
                      <w:b/>
                      <w:sz w:val="20"/>
                      <w:szCs w:val="20"/>
                    </w:rPr>
                    <w:t xml:space="preserve">Diferencial: </w:t>
                  </w:r>
                  <w:r w:rsidRPr="002538D9">
                    <w:rPr>
                      <w:b/>
                      <w:sz w:val="20"/>
                      <w:szCs w:val="20"/>
                    </w:rPr>
                    <w:tab/>
                    <w:t xml:space="preserve">          -72,1%             </w:t>
                  </w:r>
                  <w:r w:rsidR="0048480F" w:rsidRPr="002538D9">
                    <w:rPr>
                      <w:b/>
                      <w:sz w:val="20"/>
                      <w:szCs w:val="20"/>
                    </w:rPr>
                    <w:t xml:space="preserve">                           </w:t>
                  </w:r>
                  <w:r w:rsidRPr="002538D9">
                    <w:rPr>
                      <w:b/>
                      <w:sz w:val="20"/>
                      <w:szCs w:val="20"/>
                    </w:rPr>
                    <w:t xml:space="preserve">  -74,2%</w:t>
                  </w:r>
                </w:p>
              </w:txbxContent>
            </v:textbox>
          </v:shape>
        </w:pict>
      </w:r>
      <w:r w:rsidR="0007214B" w:rsidRPr="004C3D50">
        <w:rPr>
          <w:rFonts w:ascii="National Bold" w:hAnsi="National Bold"/>
          <w:b/>
          <w:noProof/>
          <w:lang w:eastAsia="pt-PT"/>
        </w:rPr>
        <w:drawing>
          <wp:inline distT="0" distB="0" distL="0" distR="0" wp14:anchorId="62715E3C" wp14:editId="323900C9">
            <wp:extent cx="5124091" cy="2613804"/>
            <wp:effectExtent l="0" t="0" r="635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62456" w:rsidRDefault="00F62456" w:rsidP="009D262F">
      <w:pPr>
        <w:tabs>
          <w:tab w:val="left" w:pos="2350"/>
        </w:tabs>
        <w:jc w:val="center"/>
      </w:pPr>
    </w:p>
    <w:p w:rsidR="003B70BB" w:rsidRDefault="0007214B" w:rsidP="002538D9">
      <w:pPr>
        <w:tabs>
          <w:tab w:val="left" w:pos="2350"/>
        </w:tabs>
        <w:jc w:val="center"/>
      </w:pPr>
      <w:r w:rsidRPr="0007214B">
        <w:rPr>
          <w:noProof/>
          <w:lang w:eastAsia="pt-PT"/>
        </w:rPr>
        <w:drawing>
          <wp:inline distT="0" distB="0" distL="0" distR="0" wp14:anchorId="4FDFE274" wp14:editId="5AFF6843">
            <wp:extent cx="5020310" cy="2488018"/>
            <wp:effectExtent l="0" t="0" r="8890" b="7620"/>
            <wp:docPr id="19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538D9" w:rsidRDefault="002538D9" w:rsidP="002538D9">
      <w:pPr>
        <w:tabs>
          <w:tab w:val="left" w:pos="2350"/>
        </w:tabs>
        <w:jc w:val="center"/>
      </w:pPr>
    </w:p>
    <w:p w:rsidR="002538D9" w:rsidRPr="002538D9" w:rsidRDefault="004E520F" w:rsidP="002538D9">
      <w:pPr>
        <w:tabs>
          <w:tab w:val="left" w:pos="2350"/>
        </w:tabs>
        <w:jc w:val="center"/>
      </w:pPr>
      <w:r>
        <w:rPr>
          <w:b/>
          <w:noProof/>
          <w:sz w:val="26"/>
          <w:szCs w:val="26"/>
          <w:lang w:eastAsia="pt-PT"/>
        </w:rPr>
        <w:lastRenderedPageBreak/>
        <w:pict>
          <v:shape id="_x0000_s1035" type="#_x0000_t202" style="position:absolute;left:0;text-align:left;margin-left:31.9pt;margin-top:172.15pt;width:337.55pt;height:20.75pt;z-index:251671552;mso-width-relative:margin;mso-height-relative:margin" stroked="f">
            <v:textbox style="mso-next-textbox:#_x0000_s1035">
              <w:txbxContent>
                <w:p w:rsidR="008863CF" w:rsidRPr="004B7D92" w:rsidRDefault="00E714A7" w:rsidP="008863CF">
                  <w:pPr>
                    <w:rPr>
                      <w:b/>
                      <w:sz w:val="20"/>
                      <w:szCs w:val="20"/>
                    </w:rPr>
                  </w:pPr>
                  <w:r w:rsidRPr="004B7D92">
                    <w:rPr>
                      <w:b/>
                      <w:sz w:val="20"/>
                      <w:szCs w:val="20"/>
                    </w:rPr>
                    <w:t>Diferencial:</w:t>
                  </w:r>
                  <w:r w:rsidRPr="004B7D92">
                    <w:rPr>
                      <w:b/>
                      <w:sz w:val="20"/>
                      <w:szCs w:val="20"/>
                    </w:rPr>
                    <w:tab/>
                    <w:t xml:space="preserve">       </w:t>
                  </w:r>
                  <w:r w:rsidR="002538D9" w:rsidRPr="004B7D92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4B7D92">
                    <w:rPr>
                      <w:b/>
                      <w:sz w:val="20"/>
                      <w:szCs w:val="20"/>
                    </w:rPr>
                    <w:t xml:space="preserve">   36,5% </w:t>
                  </w:r>
                  <w:r w:rsidR="002538D9" w:rsidRPr="004B7D92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Pr="004B7D92">
                    <w:rPr>
                      <w:b/>
                      <w:sz w:val="20"/>
                      <w:szCs w:val="20"/>
                    </w:rPr>
                    <w:tab/>
                  </w:r>
                  <w:r w:rsidRPr="004B7D92">
                    <w:rPr>
                      <w:b/>
                      <w:sz w:val="20"/>
                      <w:szCs w:val="20"/>
                    </w:rPr>
                    <w:tab/>
                    <w:t xml:space="preserve">    </w:t>
                  </w:r>
                  <w:r w:rsidR="008863CF" w:rsidRPr="004B7D92">
                    <w:rPr>
                      <w:b/>
                      <w:sz w:val="20"/>
                      <w:szCs w:val="20"/>
                    </w:rPr>
                    <w:t>41,0%</w:t>
                  </w:r>
                </w:p>
              </w:txbxContent>
            </v:textbox>
          </v:shape>
        </w:pict>
      </w:r>
      <w:r w:rsidR="00E714A7" w:rsidRPr="00E714A7">
        <w:rPr>
          <w:noProof/>
          <w:lang w:eastAsia="pt-PT"/>
        </w:rPr>
        <w:drawing>
          <wp:inline distT="0" distB="0" distL="0" distR="0" wp14:anchorId="134FB04E" wp14:editId="732B4B44">
            <wp:extent cx="4979563" cy="2622430"/>
            <wp:effectExtent l="0" t="0" r="0" b="6985"/>
            <wp:docPr id="35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B1D43" w:rsidRDefault="00BB1D43" w:rsidP="00BB1D43"/>
    <w:p w:rsidR="00BB1D43" w:rsidRDefault="00BB1D43" w:rsidP="00BB1D43">
      <w:pPr>
        <w:jc w:val="both"/>
      </w:pPr>
      <w:r w:rsidRPr="00BB1D43">
        <w:t>Quanto à relação entre a realização de programas de mobilidade internacional e a possibilidade de emigrar, os dados não indicam qualquer relação entre as duas variáveis, desmistificando qualquer conclusão antecipada e intuitiva de que seria mais provável que os mais interessados em emigrar fossem os estudantes ou graduados que realizaram programas de mobilidade internacional.</w:t>
      </w:r>
    </w:p>
    <w:p w:rsidR="00BB1D43" w:rsidRDefault="00BB1D43" w:rsidP="00BB1D43">
      <w:pPr>
        <w:jc w:val="center"/>
      </w:pPr>
      <w:r w:rsidRPr="00FF3991">
        <w:rPr>
          <w:noProof/>
          <w:lang w:eastAsia="pt-PT"/>
        </w:rPr>
        <w:drawing>
          <wp:inline distT="0" distB="0" distL="0" distR="0" wp14:anchorId="3BD0545F" wp14:editId="424197CE">
            <wp:extent cx="5067300" cy="3448050"/>
            <wp:effectExtent l="0" t="0" r="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B1D43" w:rsidRDefault="00BB1D43" w:rsidP="00BB1D43"/>
    <w:p w:rsidR="00BB1D43" w:rsidRDefault="00BB1D43" w:rsidP="00BB1D43"/>
    <w:p w:rsidR="00BB1D43" w:rsidRDefault="004E520F" w:rsidP="00BB1D43">
      <w:pPr>
        <w:jc w:val="center"/>
      </w:pPr>
      <w:r>
        <w:rPr>
          <w:noProof/>
        </w:rPr>
        <w:lastRenderedPageBreak/>
        <w:pict>
          <v:shape id="_x0000_s1040" type="#_x0000_t202" style="position:absolute;left:0;text-align:left;margin-left:2.55pt;margin-top:270.8pt;width:364.6pt;height:19.05pt;z-index:251676672;mso-width-relative:margin;mso-height-relative:margin" stroked="f">
            <v:textbox>
              <w:txbxContent>
                <w:p w:rsidR="00BB1D43" w:rsidRPr="00FF3991" w:rsidRDefault="00BB1D43" w:rsidP="00BB1D43">
                  <w:pPr>
                    <w:rPr>
                      <w:b/>
                      <w:sz w:val="20"/>
                      <w:szCs w:val="20"/>
                    </w:rPr>
                  </w:pPr>
                  <w:r w:rsidRPr="00FF3991">
                    <w:rPr>
                      <w:b/>
                      <w:sz w:val="20"/>
                      <w:szCs w:val="20"/>
                    </w:rPr>
                    <w:t xml:space="preserve">Diferencial: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FF3991">
                    <w:rPr>
                      <w:b/>
                      <w:sz w:val="20"/>
                      <w:szCs w:val="20"/>
                    </w:rPr>
                    <w:t xml:space="preserve">36,7%  </w:t>
                  </w:r>
                  <w:r w:rsidRPr="00FF3991">
                    <w:rPr>
                      <w:b/>
                      <w:sz w:val="20"/>
                      <w:szCs w:val="20"/>
                    </w:rPr>
                    <w:tab/>
                  </w:r>
                  <w:r w:rsidRPr="00FF3991">
                    <w:rPr>
                      <w:b/>
                      <w:sz w:val="20"/>
                      <w:szCs w:val="20"/>
                    </w:rPr>
                    <w:tab/>
                  </w:r>
                  <w:r w:rsidRPr="00FF3991">
                    <w:rPr>
                      <w:b/>
                      <w:sz w:val="20"/>
                      <w:szCs w:val="20"/>
                    </w:rPr>
                    <w:tab/>
                  </w:r>
                  <w:r w:rsidRPr="00FF3991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FF3991">
                    <w:rPr>
                      <w:b/>
                      <w:sz w:val="20"/>
                      <w:szCs w:val="20"/>
                    </w:rPr>
                    <w:t>38,5%</w:t>
                  </w:r>
                </w:p>
              </w:txbxContent>
            </v:textbox>
          </v:shape>
        </w:pict>
      </w:r>
      <w:r w:rsidR="00BB1D43" w:rsidRPr="00FF3991">
        <w:rPr>
          <w:noProof/>
          <w:lang w:eastAsia="pt-PT"/>
        </w:rPr>
        <w:drawing>
          <wp:inline distT="0" distB="0" distL="0" distR="0" wp14:anchorId="696984C3" wp14:editId="10171F42">
            <wp:extent cx="5616383" cy="3864634"/>
            <wp:effectExtent l="0" t="0" r="3810" b="254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B4B39" w:rsidRDefault="005B4B39">
      <w:pPr>
        <w:rPr>
          <w:rFonts w:ascii="National Extrabold" w:eastAsiaTheme="majorEastAsia" w:hAnsi="National Extrabold" w:cstheme="majorBidi"/>
          <w:b/>
          <w:bCs/>
          <w:sz w:val="24"/>
          <w:szCs w:val="26"/>
        </w:rPr>
      </w:pPr>
      <w:r>
        <w:br w:type="page"/>
      </w:r>
    </w:p>
    <w:p w:rsidR="000D3CDA" w:rsidRPr="005B4B39" w:rsidRDefault="005B4B39" w:rsidP="005B4B39">
      <w:pPr>
        <w:pStyle w:val="Heading1"/>
        <w:jc w:val="left"/>
      </w:pPr>
      <w:bookmarkStart w:id="9" w:name="_Toc332381769"/>
      <w:r w:rsidRPr="005B4B39">
        <w:lastRenderedPageBreak/>
        <w:t>Conclusões</w:t>
      </w:r>
      <w:r w:rsidR="0067274F">
        <w:t xml:space="preserve"> e Considerações Finais</w:t>
      </w:r>
      <w:bookmarkEnd w:id="9"/>
    </w:p>
    <w:p w:rsidR="000D3CDA" w:rsidRPr="000005DA" w:rsidRDefault="000D3CDA" w:rsidP="008D48E6">
      <w:pPr>
        <w:tabs>
          <w:tab w:val="left" w:pos="2350"/>
        </w:tabs>
        <w:rPr>
          <w:b/>
          <w:sz w:val="26"/>
          <w:szCs w:val="26"/>
        </w:rPr>
      </w:pPr>
    </w:p>
    <w:p w:rsidR="00E96707" w:rsidRPr="000005DA" w:rsidRDefault="00960BCA" w:rsidP="0075375A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  <w:r w:rsidRPr="000005DA">
        <w:rPr>
          <w:rFonts w:eastAsia="Times New Roman" w:cstheme="minorHAnsi"/>
          <w:color w:val="222222"/>
          <w:szCs w:val="20"/>
          <w:lang w:eastAsia="pt-PT"/>
        </w:rPr>
        <w:t>A emigração</w:t>
      </w:r>
      <w:r w:rsidR="00E96707" w:rsidRPr="000005DA">
        <w:rPr>
          <w:rFonts w:eastAsia="Times New Roman" w:cstheme="minorHAnsi"/>
          <w:color w:val="222222"/>
          <w:szCs w:val="20"/>
          <w:lang w:eastAsia="pt-PT"/>
        </w:rPr>
        <w:t xml:space="preserve"> parece ser</w:t>
      </w:r>
      <w:r w:rsidR="00A3563E" w:rsidRPr="000005DA">
        <w:rPr>
          <w:rFonts w:eastAsia="Times New Roman" w:cstheme="minorHAnsi"/>
          <w:color w:val="222222"/>
          <w:szCs w:val="20"/>
          <w:lang w:eastAsia="pt-PT"/>
        </w:rPr>
        <w:t>, efetivamente,</w:t>
      </w:r>
      <w:r w:rsidR="00E96707" w:rsidRPr="000005DA">
        <w:rPr>
          <w:rFonts w:eastAsia="Times New Roman" w:cstheme="minorHAnsi"/>
          <w:color w:val="222222"/>
          <w:szCs w:val="20"/>
          <w:lang w:eastAsia="pt-PT"/>
        </w:rPr>
        <w:t xml:space="preserve"> uma possibilidade </w:t>
      </w:r>
      <w:r w:rsidR="00A3563E" w:rsidRPr="000005DA">
        <w:rPr>
          <w:rFonts w:eastAsia="Times New Roman" w:cstheme="minorHAnsi"/>
          <w:color w:val="222222"/>
          <w:szCs w:val="20"/>
          <w:lang w:eastAsia="pt-PT"/>
        </w:rPr>
        <w:t xml:space="preserve">a ter em linha de conta </w:t>
      </w:r>
      <w:r w:rsidR="00E96707" w:rsidRPr="000005DA">
        <w:rPr>
          <w:rFonts w:eastAsia="Times New Roman" w:cstheme="minorHAnsi"/>
          <w:color w:val="222222"/>
          <w:szCs w:val="20"/>
          <w:lang w:eastAsia="pt-PT"/>
        </w:rPr>
        <w:t>para uma parte substancial dos inquiridos</w:t>
      </w:r>
      <w:r w:rsidR="00A3563E" w:rsidRPr="000005DA">
        <w:rPr>
          <w:rFonts w:eastAsia="Times New Roman" w:cstheme="minorHAnsi"/>
          <w:color w:val="222222"/>
          <w:szCs w:val="20"/>
          <w:lang w:eastAsia="pt-PT"/>
        </w:rPr>
        <w:t xml:space="preserve"> e, dentro desta, a opção por países europeus parece reunir maior percentagem de respostas. No entanto, os dados mostram que a maioria dos estudantes que participaram neste estudo não conhece mecanismos info</w:t>
      </w:r>
      <w:r w:rsidRPr="000005DA">
        <w:rPr>
          <w:rFonts w:eastAsia="Times New Roman" w:cstheme="minorHAnsi"/>
          <w:color w:val="222222"/>
          <w:szCs w:val="20"/>
          <w:lang w:eastAsia="pt-PT"/>
        </w:rPr>
        <w:t>rmativos sobre diversos países da Europa</w:t>
      </w:r>
      <w:r w:rsidR="00A3563E" w:rsidRPr="000005DA">
        <w:rPr>
          <w:rFonts w:eastAsia="Times New Roman" w:cstheme="minorHAnsi"/>
          <w:color w:val="222222"/>
          <w:szCs w:val="20"/>
          <w:lang w:eastAsia="pt-PT"/>
        </w:rPr>
        <w:t>. Tal facto poderá constituir uma preocupação ou</w:t>
      </w:r>
      <w:r w:rsidR="00601987">
        <w:rPr>
          <w:rFonts w:eastAsia="Times New Roman" w:cstheme="minorHAnsi"/>
          <w:color w:val="222222"/>
          <w:szCs w:val="20"/>
          <w:lang w:eastAsia="pt-PT"/>
        </w:rPr>
        <w:t xml:space="preserve"> uma</w:t>
      </w:r>
      <w:r w:rsidR="00A3563E" w:rsidRPr="000005DA">
        <w:rPr>
          <w:rFonts w:eastAsia="Times New Roman" w:cstheme="minorHAnsi"/>
          <w:color w:val="222222"/>
          <w:szCs w:val="20"/>
          <w:lang w:eastAsia="pt-PT"/>
        </w:rPr>
        <w:t xml:space="preserve"> necessidade pertinente atendendo ao cenário atual e futuro dos jovens inquiridos</w:t>
      </w:r>
      <w:r w:rsidR="0063684E">
        <w:rPr>
          <w:rFonts w:eastAsia="Times New Roman" w:cstheme="minorHAnsi"/>
          <w:color w:val="222222"/>
          <w:szCs w:val="20"/>
          <w:lang w:eastAsia="pt-PT"/>
        </w:rPr>
        <w:t>, sem que a criação deste mecanismo seja visto como incentivador mas como um veículo para se reduzirem as assimetrias de informação ainda existentes.</w:t>
      </w:r>
    </w:p>
    <w:p w:rsidR="00A3563E" w:rsidRPr="000005DA" w:rsidRDefault="00A3563E" w:rsidP="0075375A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</w:p>
    <w:p w:rsidR="00A3563E" w:rsidRDefault="00A3563E" w:rsidP="0075375A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Um outro aspeto a ressalvar remete para </w:t>
      </w:r>
      <w:r w:rsidR="00E31444" w:rsidRPr="000005DA">
        <w:rPr>
          <w:rFonts w:eastAsia="Times New Roman" w:cstheme="minorHAnsi"/>
          <w:color w:val="222222"/>
          <w:szCs w:val="20"/>
          <w:lang w:eastAsia="pt-PT"/>
        </w:rPr>
        <w:t>a importância de contextualizar o fenómeno da emigração, uma vez que parece resultar manifestamente de um conjunto de motivações pessoais que recaem sobre a esfera profissional, embora tenha subjacente o desejo intrínseco e evidente de implicar um regresso, neste caso particular, a Portugal.</w:t>
      </w:r>
      <w:r w:rsidR="006138C6" w:rsidRPr="000005DA">
        <w:rPr>
          <w:rFonts w:eastAsia="Times New Roman" w:cstheme="minorHAnsi"/>
          <w:color w:val="222222"/>
          <w:szCs w:val="20"/>
          <w:lang w:eastAsia="pt-PT"/>
        </w:rPr>
        <w:t xml:space="preserve"> </w:t>
      </w:r>
      <w:r w:rsidR="00F11E09">
        <w:rPr>
          <w:rFonts w:eastAsia="Times New Roman" w:cstheme="minorHAnsi"/>
          <w:color w:val="222222"/>
          <w:szCs w:val="20"/>
          <w:lang w:eastAsia="pt-PT"/>
        </w:rPr>
        <w:t>Esta relação dicotómica entre sair para encontrar melhores condições de trabalho e ficar pelo vínculo afetivo e de identificação cultural poderá justificar um estudo específico à luz da conjuntura atual.</w:t>
      </w:r>
    </w:p>
    <w:p w:rsidR="0063684E" w:rsidRDefault="0063684E" w:rsidP="0075375A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</w:p>
    <w:p w:rsidR="0063684E" w:rsidRPr="000005DA" w:rsidRDefault="0063684E" w:rsidP="0063684E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  <w:r>
        <w:rPr>
          <w:rFonts w:eastAsia="Times New Roman" w:cstheme="minorHAnsi"/>
          <w:color w:val="222222"/>
          <w:szCs w:val="20"/>
          <w:lang w:eastAsia="pt-PT"/>
        </w:rPr>
        <w:t>Ademais, o</w:t>
      </w:r>
      <w:r w:rsidRPr="0063684E">
        <w:rPr>
          <w:rFonts w:eastAsia="Times New Roman" w:cstheme="minorHAnsi"/>
          <w:color w:val="222222"/>
          <w:szCs w:val="20"/>
          <w:lang w:eastAsia="pt-PT"/>
        </w:rPr>
        <w:t xml:space="preserve">s dados </w:t>
      </w:r>
      <w:r>
        <w:rPr>
          <w:rFonts w:eastAsia="Times New Roman" w:cstheme="minorHAnsi"/>
          <w:color w:val="222222"/>
          <w:szCs w:val="20"/>
          <w:lang w:eastAsia="pt-PT"/>
        </w:rPr>
        <w:t xml:space="preserve">poderão indiciar que, de uma forma geral, </w:t>
      </w:r>
      <w:r w:rsidRPr="000005DA">
        <w:rPr>
          <w:rFonts w:eastAsia="Times New Roman" w:cstheme="minorHAnsi"/>
          <w:color w:val="222222"/>
          <w:szCs w:val="20"/>
          <w:lang w:eastAsia="pt-PT"/>
        </w:rPr>
        <w:t>estão a fazer-se sentir as alterações socioeconómicas resultantes da crise financeira e do ajustamento orçamental que está a acontecer em Portugal.</w:t>
      </w:r>
    </w:p>
    <w:p w:rsidR="0063684E" w:rsidRDefault="0063684E" w:rsidP="0063684E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</w:p>
    <w:p w:rsidR="0075375A" w:rsidRPr="000005DA" w:rsidRDefault="0075375A" w:rsidP="0075375A">
      <w:pPr>
        <w:spacing w:after="0" w:line="360" w:lineRule="auto"/>
        <w:jc w:val="both"/>
        <w:rPr>
          <w:rFonts w:eastAsia="Times New Roman" w:cstheme="minorHAnsi"/>
          <w:color w:val="222222"/>
          <w:szCs w:val="20"/>
          <w:lang w:eastAsia="pt-PT"/>
        </w:rPr>
      </w:pP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Uma análise futura mais atenta, com o cruzamento de outras variáveis e </w:t>
      </w:r>
      <w:r w:rsidR="0063684E">
        <w:rPr>
          <w:rFonts w:eastAsia="Times New Roman" w:cstheme="minorHAnsi"/>
          <w:color w:val="222222"/>
          <w:szCs w:val="20"/>
          <w:lang w:eastAsia="pt-PT"/>
        </w:rPr>
        <w:t>respetiva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 discussão alargada das suas implicações, permitirá tirar conclusões ainda mais profundas deste estudo de apoio à reflexão </w:t>
      </w:r>
      <w:r w:rsidR="0063684E">
        <w:rPr>
          <w:rFonts w:eastAsia="Times New Roman" w:cstheme="minorHAnsi"/>
          <w:color w:val="222222"/>
          <w:szCs w:val="20"/>
          <w:lang w:eastAsia="pt-PT"/>
        </w:rPr>
        <w:t xml:space="preserve">e </w:t>
      </w:r>
      <w:r w:rsidRPr="000005DA">
        <w:rPr>
          <w:rFonts w:eastAsia="Times New Roman" w:cstheme="minorHAnsi"/>
          <w:color w:val="222222"/>
          <w:szCs w:val="20"/>
          <w:lang w:eastAsia="pt-PT"/>
        </w:rPr>
        <w:t xml:space="preserve">ao "policy making" em matérias de ensino superior e de empregabilidade. </w:t>
      </w:r>
    </w:p>
    <w:p w:rsidR="0075375A" w:rsidRPr="000005DA" w:rsidRDefault="0075375A" w:rsidP="008D48E6">
      <w:pPr>
        <w:tabs>
          <w:tab w:val="left" w:pos="2350"/>
        </w:tabs>
        <w:rPr>
          <w:b/>
          <w:sz w:val="26"/>
          <w:szCs w:val="26"/>
        </w:rPr>
      </w:pPr>
    </w:p>
    <w:sectPr w:rsidR="0075375A" w:rsidRPr="000005DA" w:rsidSect="004A6DF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tional Regular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Extrabold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tional Bold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19FC"/>
    <w:multiLevelType w:val="hybridMultilevel"/>
    <w:tmpl w:val="3776FE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A30"/>
    <w:rsid w:val="000005DA"/>
    <w:rsid w:val="000024F7"/>
    <w:rsid w:val="00017018"/>
    <w:rsid w:val="00033A88"/>
    <w:rsid w:val="00056B9C"/>
    <w:rsid w:val="00061589"/>
    <w:rsid w:val="00065E57"/>
    <w:rsid w:val="0007214B"/>
    <w:rsid w:val="00076D74"/>
    <w:rsid w:val="000859CA"/>
    <w:rsid w:val="000A2A5D"/>
    <w:rsid w:val="000C0531"/>
    <w:rsid w:val="000C4DD7"/>
    <w:rsid w:val="000D2DDF"/>
    <w:rsid w:val="000D3CDA"/>
    <w:rsid w:val="000E2DC4"/>
    <w:rsid w:val="000F61DB"/>
    <w:rsid w:val="00135138"/>
    <w:rsid w:val="00144623"/>
    <w:rsid w:val="00163AD1"/>
    <w:rsid w:val="0018289F"/>
    <w:rsid w:val="0019497A"/>
    <w:rsid w:val="001A027F"/>
    <w:rsid w:val="001B0337"/>
    <w:rsid w:val="001B586C"/>
    <w:rsid w:val="001B7E5F"/>
    <w:rsid w:val="001C5E92"/>
    <w:rsid w:val="001D5F33"/>
    <w:rsid w:val="00220BDE"/>
    <w:rsid w:val="002401D1"/>
    <w:rsid w:val="0024169B"/>
    <w:rsid w:val="00245DE1"/>
    <w:rsid w:val="002538D9"/>
    <w:rsid w:val="0027578F"/>
    <w:rsid w:val="002757F2"/>
    <w:rsid w:val="0027727C"/>
    <w:rsid w:val="002976BD"/>
    <w:rsid w:val="002A6FF5"/>
    <w:rsid w:val="002B4320"/>
    <w:rsid w:val="002B6A30"/>
    <w:rsid w:val="00300B3F"/>
    <w:rsid w:val="00340822"/>
    <w:rsid w:val="00346225"/>
    <w:rsid w:val="00357391"/>
    <w:rsid w:val="003A2DCD"/>
    <w:rsid w:val="003B70BB"/>
    <w:rsid w:val="003C1321"/>
    <w:rsid w:val="003C4088"/>
    <w:rsid w:val="003E0B93"/>
    <w:rsid w:val="00417630"/>
    <w:rsid w:val="0042233A"/>
    <w:rsid w:val="00431102"/>
    <w:rsid w:val="00435536"/>
    <w:rsid w:val="00440688"/>
    <w:rsid w:val="004515D2"/>
    <w:rsid w:val="0046250B"/>
    <w:rsid w:val="0048480F"/>
    <w:rsid w:val="004A3112"/>
    <w:rsid w:val="004A6DF6"/>
    <w:rsid w:val="004B12F6"/>
    <w:rsid w:val="004B282F"/>
    <w:rsid w:val="004B7D92"/>
    <w:rsid w:val="004C3D50"/>
    <w:rsid w:val="004C61FE"/>
    <w:rsid w:val="004D608F"/>
    <w:rsid w:val="004D68D3"/>
    <w:rsid w:val="004E2EF8"/>
    <w:rsid w:val="004E520F"/>
    <w:rsid w:val="004F24F7"/>
    <w:rsid w:val="005022A7"/>
    <w:rsid w:val="00541941"/>
    <w:rsid w:val="005924B9"/>
    <w:rsid w:val="005B4B39"/>
    <w:rsid w:val="005B6720"/>
    <w:rsid w:val="005C2158"/>
    <w:rsid w:val="005D1F8F"/>
    <w:rsid w:val="005D71A3"/>
    <w:rsid w:val="005F40E2"/>
    <w:rsid w:val="005F452B"/>
    <w:rsid w:val="00601987"/>
    <w:rsid w:val="00607475"/>
    <w:rsid w:val="0061059D"/>
    <w:rsid w:val="006138C6"/>
    <w:rsid w:val="00632E33"/>
    <w:rsid w:val="0063684E"/>
    <w:rsid w:val="006521D7"/>
    <w:rsid w:val="0065248A"/>
    <w:rsid w:val="006552F2"/>
    <w:rsid w:val="00664C25"/>
    <w:rsid w:val="00664F68"/>
    <w:rsid w:val="0067274F"/>
    <w:rsid w:val="0067466C"/>
    <w:rsid w:val="00683E54"/>
    <w:rsid w:val="00685146"/>
    <w:rsid w:val="006B3CDA"/>
    <w:rsid w:val="0071468D"/>
    <w:rsid w:val="0074556D"/>
    <w:rsid w:val="007472CC"/>
    <w:rsid w:val="0075375A"/>
    <w:rsid w:val="0076084C"/>
    <w:rsid w:val="00775159"/>
    <w:rsid w:val="007A2ACD"/>
    <w:rsid w:val="007B5B83"/>
    <w:rsid w:val="007C78A0"/>
    <w:rsid w:val="00801FE4"/>
    <w:rsid w:val="00802780"/>
    <w:rsid w:val="008205E3"/>
    <w:rsid w:val="00827166"/>
    <w:rsid w:val="00836CAD"/>
    <w:rsid w:val="0085606D"/>
    <w:rsid w:val="00885906"/>
    <w:rsid w:val="008863CF"/>
    <w:rsid w:val="008D46E4"/>
    <w:rsid w:val="008D48E6"/>
    <w:rsid w:val="008D694F"/>
    <w:rsid w:val="008E4284"/>
    <w:rsid w:val="008E77F6"/>
    <w:rsid w:val="0090455E"/>
    <w:rsid w:val="0092619A"/>
    <w:rsid w:val="009329A0"/>
    <w:rsid w:val="00934D39"/>
    <w:rsid w:val="00937A13"/>
    <w:rsid w:val="00944702"/>
    <w:rsid w:val="00944F8E"/>
    <w:rsid w:val="0095378B"/>
    <w:rsid w:val="00960BCA"/>
    <w:rsid w:val="00961C05"/>
    <w:rsid w:val="00972268"/>
    <w:rsid w:val="009C47DF"/>
    <w:rsid w:val="009D262F"/>
    <w:rsid w:val="009D6C69"/>
    <w:rsid w:val="009E23AF"/>
    <w:rsid w:val="00A0579D"/>
    <w:rsid w:val="00A213D0"/>
    <w:rsid w:val="00A27BAB"/>
    <w:rsid w:val="00A3563E"/>
    <w:rsid w:val="00A62D3B"/>
    <w:rsid w:val="00A64AF6"/>
    <w:rsid w:val="00A80240"/>
    <w:rsid w:val="00AA0CEE"/>
    <w:rsid w:val="00AA793E"/>
    <w:rsid w:val="00AC3025"/>
    <w:rsid w:val="00AD50F5"/>
    <w:rsid w:val="00AF03D4"/>
    <w:rsid w:val="00AF355A"/>
    <w:rsid w:val="00AF3C4A"/>
    <w:rsid w:val="00AF65C5"/>
    <w:rsid w:val="00AF6BF8"/>
    <w:rsid w:val="00B22C91"/>
    <w:rsid w:val="00B3577C"/>
    <w:rsid w:val="00B375A5"/>
    <w:rsid w:val="00B464B7"/>
    <w:rsid w:val="00B54E79"/>
    <w:rsid w:val="00B61386"/>
    <w:rsid w:val="00B70F94"/>
    <w:rsid w:val="00B847A2"/>
    <w:rsid w:val="00BA7344"/>
    <w:rsid w:val="00BB1D43"/>
    <w:rsid w:val="00C06554"/>
    <w:rsid w:val="00C11CC6"/>
    <w:rsid w:val="00C228BF"/>
    <w:rsid w:val="00C37EB1"/>
    <w:rsid w:val="00C96106"/>
    <w:rsid w:val="00CA027E"/>
    <w:rsid w:val="00CA17D1"/>
    <w:rsid w:val="00CB1D8F"/>
    <w:rsid w:val="00CC1F7C"/>
    <w:rsid w:val="00D01EEB"/>
    <w:rsid w:val="00D07E01"/>
    <w:rsid w:val="00D32EF7"/>
    <w:rsid w:val="00D64053"/>
    <w:rsid w:val="00D6719C"/>
    <w:rsid w:val="00D72C3F"/>
    <w:rsid w:val="00D924D4"/>
    <w:rsid w:val="00DB7300"/>
    <w:rsid w:val="00DD5153"/>
    <w:rsid w:val="00DD579B"/>
    <w:rsid w:val="00DD65F5"/>
    <w:rsid w:val="00E253AB"/>
    <w:rsid w:val="00E31444"/>
    <w:rsid w:val="00E36532"/>
    <w:rsid w:val="00E36838"/>
    <w:rsid w:val="00E552AC"/>
    <w:rsid w:val="00E56EA5"/>
    <w:rsid w:val="00E714A7"/>
    <w:rsid w:val="00E742D0"/>
    <w:rsid w:val="00E96707"/>
    <w:rsid w:val="00EE5205"/>
    <w:rsid w:val="00EF13CC"/>
    <w:rsid w:val="00EF44BF"/>
    <w:rsid w:val="00EF7F15"/>
    <w:rsid w:val="00F00FCE"/>
    <w:rsid w:val="00F11E09"/>
    <w:rsid w:val="00F232A7"/>
    <w:rsid w:val="00F53C3C"/>
    <w:rsid w:val="00F54D01"/>
    <w:rsid w:val="00F56719"/>
    <w:rsid w:val="00F62456"/>
    <w:rsid w:val="00F7391B"/>
    <w:rsid w:val="00F7767F"/>
    <w:rsid w:val="00F85581"/>
    <w:rsid w:val="00F939E8"/>
    <w:rsid w:val="00F95DB7"/>
    <w:rsid w:val="00FB0BE7"/>
    <w:rsid w:val="00FB5D2C"/>
    <w:rsid w:val="00FD1276"/>
    <w:rsid w:val="00FD1B06"/>
    <w:rsid w:val="00FD4469"/>
    <w:rsid w:val="00FD612B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39"/>
    <w:rPr>
      <w:rFonts w:ascii="National Regular" w:hAnsi="National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F15"/>
    <w:pPr>
      <w:keepNext/>
      <w:keepLines/>
      <w:spacing w:before="480" w:after="0" w:line="360" w:lineRule="auto"/>
      <w:jc w:val="center"/>
      <w:outlineLvl w:val="0"/>
    </w:pPr>
    <w:rPr>
      <w:rFonts w:ascii="National Extrabold" w:eastAsiaTheme="majorEastAsia" w:hAnsi="National Extrabol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F15"/>
    <w:pPr>
      <w:keepNext/>
      <w:keepLines/>
      <w:spacing w:before="200" w:after="0" w:line="360" w:lineRule="auto"/>
      <w:jc w:val="both"/>
      <w:outlineLvl w:val="1"/>
    </w:pPr>
    <w:rPr>
      <w:rFonts w:ascii="National Extrabold" w:eastAsiaTheme="majorEastAsia" w:hAnsi="National Extrabold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EA5"/>
    <w:pPr>
      <w:keepNext/>
      <w:keepLines/>
      <w:spacing w:before="200" w:after="0"/>
      <w:outlineLvl w:val="2"/>
    </w:pPr>
    <w:rPr>
      <w:rFonts w:ascii="National Extrabold" w:eastAsiaTheme="majorEastAsia" w:hAnsi="National Extrabold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30"/>
    <w:rPr>
      <w:rFonts w:ascii="Tahoma" w:hAnsi="Tahoma" w:cs="Tahoma"/>
      <w:sz w:val="16"/>
      <w:szCs w:val="16"/>
    </w:rPr>
  </w:style>
  <w:style w:type="table" w:customStyle="1" w:styleId="SombreadoMdio1-Cor11">
    <w:name w:val="Sombreado Médio 1 - Cor 11"/>
    <w:basedOn w:val="TableNormal"/>
    <w:uiPriority w:val="63"/>
    <w:rsid w:val="00422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7F15"/>
    <w:rPr>
      <w:rFonts w:ascii="National Extrabold" w:eastAsiaTheme="majorEastAsia" w:hAnsi="National Extrabol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7F15"/>
    <w:rPr>
      <w:rFonts w:ascii="National Extrabold" w:eastAsiaTheme="majorEastAsia" w:hAnsi="National Extrabold" w:cstheme="majorBidi"/>
      <w:b/>
      <w:bCs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3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C4A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C4A"/>
    <w:rPr>
      <w:rFonts w:ascii="National Regular" w:hAnsi="National Regular"/>
      <w:sz w:val="20"/>
      <w:szCs w:val="20"/>
    </w:rPr>
  </w:style>
  <w:style w:type="paragraph" w:styleId="ListParagraph">
    <w:name w:val="List Paragraph"/>
    <w:basedOn w:val="Normal"/>
    <w:uiPriority w:val="34"/>
    <w:qFormat/>
    <w:rsid w:val="007C78A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B4B3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B4B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4B3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4B39"/>
    <w:rPr>
      <w:color w:val="0000FF" w:themeColor="hyperlink"/>
      <w:u w:val="single"/>
    </w:rPr>
  </w:style>
  <w:style w:type="paragraph" w:customStyle="1" w:styleId="ndice">
    <w:name w:val="Índice"/>
    <w:basedOn w:val="TOC1"/>
    <w:qFormat/>
    <w:rsid w:val="005B4B39"/>
    <w:pPr>
      <w:tabs>
        <w:tab w:val="right" w:leader="dot" w:pos="8494"/>
      </w:tabs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5B4B39"/>
    <w:pPr>
      <w:pBdr>
        <w:bottom w:val="single" w:sz="12" w:space="1" w:color="C00000"/>
      </w:pBdr>
      <w:spacing w:after="0" w:line="240" w:lineRule="auto"/>
      <w:contextualSpacing/>
      <w:jc w:val="center"/>
    </w:pPr>
    <w:rPr>
      <w:rFonts w:ascii="National Extrabold" w:eastAsiaTheme="majorEastAsia" w:hAnsi="National Extrabold" w:cstheme="majorBidi"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B39"/>
    <w:rPr>
      <w:rFonts w:ascii="National Extrabold" w:eastAsiaTheme="majorEastAsia" w:hAnsi="National Extrabold" w:cstheme="majorBidi"/>
      <w:color w:val="C00000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56EA5"/>
    <w:rPr>
      <w:rFonts w:ascii="National Extrabold" w:eastAsiaTheme="majorEastAsia" w:hAnsi="National Extrabold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2716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Gr&#225;ficos%20Relat&#243;rio%20Mobilidade%20Profissiona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Question&#225;rio%20Mobilidade%20Profissional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Question&#225;rio%20Mobilidade%20Profissional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Question&#225;rio%20Mobilidade%20Profissional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Question&#225;rio%20Mobilidade%20Profissional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Question&#225;rio%20Mobilidade%20Profissional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Question&#225;rio%20Mobilidade%20Profissional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Gr&#225;ficos%20Relat&#243;rio%20Mobilidade%20Profissiona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Gr&#225;ficos%20Relat&#243;rio%20Mobilidade%20Profissional_SCP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Gr&#225;ficos%20Relat&#243;rio%20Mobilidade%20Profissiona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Gr&#225;ficos%20Relat&#243;rio%20Mobilidade%20Profissional_SC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Gr&#225;ficos%20Relat&#243;rio%20Mobilidade%20Profissional_SCP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Gr&#225;ficos%20Relat&#243;rio%20Mobilidade%20Profissiona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Gr&#225;ficos%20Relat&#243;rio%20Mobilidade%20Profissional_SCP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Gr&#225;ficos%20Relat&#243;rio%20Mobilidade%20Profissiona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Gr&#225;ficos%20Relat&#243;rio%20Mobilidade%20Profissional_SCP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Gr&#225;ficos%20Relat&#243;rio%20Mobilidade%20Profissional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Gr&#225;ficos%20Relat&#243;rio%20Mobilidade%20Profissional_SCP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Gr&#225;ficos%20Relat&#243;rio%20Mobilidade%20Profissional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Gr&#225;ficos%20Relat&#243;rio%20Mobilidade%20Profissional_SCP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Gr&#225;ficos%20Relat&#243;rio%20Mobilidade%20Profissional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Gr&#225;ficos%20Relat&#243;rio%20Mobilidade%20Profissional_SC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Gr&#225;ficos%20Relat&#243;rio%20Mobilidade%20Profissional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Gr&#225;ficos%20Relat&#243;rio%20Mobilidade%20Profissional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Gr&#225;ficos%20Relat&#243;rio%20Mobilidade%20Profissional_SCP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Question&#225;rio%20Mobilidade%20Profissional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Question&#225;rio%20Mobilidade%20Profissional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Gr&#225;ficos%20Relat&#243;rio%20Mobilidade%20Profission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Question&#225;rio%20Mobilidade%20Profissional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Gr&#225;ficos%20Relat&#243;rio%20Mobilidade%20Profissiona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Question&#225;rio%20Mobilidade%20Profissional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Question&#225;rio%20Mobilidade%20Profissional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dor\Desktop\FAP\Estudo%20Mobilidade\Question&#225;rio%20Mobilidade%20Profissiona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>
                <a:latin typeface="National Bold" pitchFamily="50" charset="0"/>
                <a:ea typeface="National Bold" pitchFamily="50" charset="0"/>
              </a:rPr>
              <a:t>Gráfico 1. Instituição do Ensino Superior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Folha18!$B$17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National Bold" pitchFamily="50" charset="0"/>
                    <a:ea typeface="National Bold" pitchFamily="50" charset="0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Folha18!$A$18:$A$28</c:f>
              <c:strCache>
                <c:ptCount val="11"/>
                <c:pt idx="0">
                  <c:v>UC</c:v>
                </c:pt>
                <c:pt idx="1">
                  <c:v>UTAD</c:v>
                </c:pt>
                <c:pt idx="2">
                  <c:v>IPC</c:v>
                </c:pt>
                <c:pt idx="3">
                  <c:v>IPV</c:v>
                </c:pt>
                <c:pt idx="4">
                  <c:v>U.Porto</c:v>
                </c:pt>
                <c:pt idx="5">
                  <c:v>U.Aveiro</c:v>
                </c:pt>
                <c:pt idx="6">
                  <c:v>IPP</c:v>
                </c:pt>
                <c:pt idx="7">
                  <c:v>U.Évora</c:v>
                </c:pt>
                <c:pt idx="8">
                  <c:v>UPT</c:v>
                </c:pt>
                <c:pt idx="9">
                  <c:v>UCP</c:v>
                </c:pt>
                <c:pt idx="10">
                  <c:v>Outros</c:v>
                </c:pt>
              </c:strCache>
            </c:strRef>
          </c:cat>
          <c:val>
            <c:numRef>
              <c:f>Folha18!$B$18:$B$28</c:f>
              <c:numCache>
                <c:formatCode>0.0%</c:formatCode>
                <c:ptCount val="11"/>
                <c:pt idx="0">
                  <c:v>0.38300000000000056</c:v>
                </c:pt>
                <c:pt idx="1">
                  <c:v>0.23700000000000004</c:v>
                </c:pt>
                <c:pt idx="2">
                  <c:v>8.1000000000000044E-2</c:v>
                </c:pt>
                <c:pt idx="3">
                  <c:v>7.6000000000000054E-2</c:v>
                </c:pt>
                <c:pt idx="4">
                  <c:v>4.7000000000000069E-2</c:v>
                </c:pt>
                <c:pt idx="5">
                  <c:v>4.6000000000000013E-2</c:v>
                </c:pt>
                <c:pt idx="6">
                  <c:v>3.8000000000000027E-2</c:v>
                </c:pt>
                <c:pt idx="7">
                  <c:v>1.6000000000000035E-2</c:v>
                </c:pt>
                <c:pt idx="8">
                  <c:v>1.4000000000000005E-2</c:v>
                </c:pt>
                <c:pt idx="9">
                  <c:v>1.0000000000000014E-2</c:v>
                </c:pt>
                <c:pt idx="10" formatCode="0.00%">
                  <c:v>5.2000000000000046E-2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676096"/>
        <c:axId val="94677632"/>
        <c:axId val="0"/>
      </c:bar3DChart>
      <c:catAx>
        <c:axId val="94676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National Bold" pitchFamily="50" charset="0"/>
                <a:ea typeface="National Bold" pitchFamily="50" charset="0"/>
              </a:defRPr>
            </a:pPr>
            <a:endParaRPr lang="pt-PT"/>
          </a:p>
        </c:txPr>
        <c:crossAx val="94677632"/>
        <c:crosses val="autoZero"/>
        <c:auto val="1"/>
        <c:lblAlgn val="ctr"/>
        <c:lblOffset val="100"/>
        <c:noMultiLvlLbl val="0"/>
      </c:catAx>
      <c:valAx>
        <c:axId val="9467763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National Bold" pitchFamily="50" charset="0"/>
                <a:ea typeface="National Bold" pitchFamily="50" charset="0"/>
              </a:defRPr>
            </a:pPr>
            <a:endParaRPr lang="pt-PT"/>
          </a:p>
        </c:txPr>
        <c:crossAx val="94676096"/>
        <c:crosses val="autoZero"/>
        <c:crossBetween val="between"/>
      </c:valAx>
    </c:plotArea>
    <c:plotVisOnly val="1"/>
    <c:dispBlanksAs val="gap"/>
    <c:showDLblsOverMax val="0"/>
  </c:chart>
  <c:spPr>
    <a:noFill/>
  </c:spPr>
  <c:txPr>
    <a:bodyPr/>
    <a:lstStyle/>
    <a:p>
      <a:pPr>
        <a:defRPr b="1"/>
      </a:pPr>
      <a:endParaRPr lang="pt-PT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t-PT" sz="1200"/>
              <a:t>Gráfico 10. Para que região tencionas emigrar? (caso tenha respondido SIM na questão anterior)</a:t>
            </a:r>
          </a:p>
        </c:rich>
      </c:tx>
      <c:layout>
        <c:manualLayout>
          <c:xMode val="edge"/>
          <c:yMode val="edge"/>
          <c:x val="0.12899953333519662"/>
          <c:y val="2.866974765976982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930525969862546E-2"/>
          <c:y val="0.17868938714742996"/>
          <c:w val="0.95444191343963591"/>
          <c:h val="0.5649390640958793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'8'!$A$7:$A$17</c:f>
              <c:strCache>
                <c:ptCount val="11"/>
                <c:pt idx="0">
                  <c:v>Europa</c:v>
                </c:pt>
                <c:pt idx="1">
                  <c:v>América do Sul</c:v>
                </c:pt>
                <c:pt idx="2">
                  <c:v>América do Norte e Central</c:v>
                </c:pt>
                <c:pt idx="3">
                  <c:v>África</c:v>
                </c:pt>
                <c:pt idx="4">
                  <c:v>Oceânia</c:v>
                </c:pt>
                <c:pt idx="5">
                  <c:v>Ásia</c:v>
                </c:pt>
                <c:pt idx="6">
                  <c:v>Indeciso</c:v>
                </c:pt>
                <c:pt idx="7">
                  <c:v>Qualquer</c:v>
                </c:pt>
                <c:pt idx="8">
                  <c:v>Indeciso</c:v>
                </c:pt>
                <c:pt idx="9">
                  <c:v>NS/NR</c:v>
                </c:pt>
                <c:pt idx="10">
                  <c:v>Resposta Inválida</c:v>
                </c:pt>
              </c:strCache>
            </c:strRef>
          </c:cat>
          <c:val>
            <c:numRef>
              <c:f>'8'!$B$7:$B$17</c:f>
              <c:numCache>
                <c:formatCode>General</c:formatCode>
                <c:ptCount val="11"/>
                <c:pt idx="0">
                  <c:v>724</c:v>
                </c:pt>
                <c:pt idx="1">
                  <c:v>133</c:v>
                </c:pt>
                <c:pt idx="2">
                  <c:v>98</c:v>
                </c:pt>
                <c:pt idx="3">
                  <c:v>51</c:v>
                </c:pt>
                <c:pt idx="4">
                  <c:v>31</c:v>
                </c:pt>
                <c:pt idx="5">
                  <c:v>30</c:v>
                </c:pt>
                <c:pt idx="6">
                  <c:v>26</c:v>
                </c:pt>
                <c:pt idx="7">
                  <c:v>38</c:v>
                </c:pt>
                <c:pt idx="8">
                  <c:v>26</c:v>
                </c:pt>
                <c:pt idx="9">
                  <c:v>160</c:v>
                </c:pt>
                <c:pt idx="1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569472"/>
        <c:axId val="168571264"/>
        <c:axId val="0"/>
      </c:bar3DChart>
      <c:catAx>
        <c:axId val="16856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50"/>
            </a:pPr>
            <a:endParaRPr lang="pt-PT"/>
          </a:p>
        </c:txPr>
        <c:crossAx val="168571264"/>
        <c:crosses val="autoZero"/>
        <c:auto val="1"/>
        <c:lblAlgn val="ctr"/>
        <c:lblOffset val="100"/>
        <c:noMultiLvlLbl val="0"/>
      </c:catAx>
      <c:valAx>
        <c:axId val="168571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85694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1" i="0" u="none" strike="noStrike" baseline="0">
          <a:solidFill>
            <a:srgbClr val="000000"/>
          </a:solidFill>
          <a:latin typeface="National Bold" pitchFamily="50" charset="0"/>
          <a:ea typeface="National Bold" pitchFamily="50" charset="0"/>
          <a:cs typeface="Calibri"/>
        </a:defRPr>
      </a:pPr>
      <a:endParaRPr lang="pt-PT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pt-PT" sz="1200"/>
              <a:t>Gráfico 11. Para que efeito emigrarias?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1608623548922089E-2"/>
                  <c:y val="-1.1251758087201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502487562189365E-3"/>
                  <c:y val="-4.500703234880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502487562189365E-3"/>
                  <c:y val="-4.500703234880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608623548922089E-2"/>
                  <c:y val="-3.9381153305203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266998341625221E-2"/>
                  <c:y val="-5.0632911392405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608623548922089E-2"/>
                  <c:y val="-3.37552742616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'8'!$A$22:$A$27</c:f>
              <c:strCache>
                <c:ptCount val="6"/>
                <c:pt idx="0">
                  <c:v>Para trabalhar</c:v>
                </c:pt>
                <c:pt idx="1">
                  <c:v>Para continuar a estudar</c:v>
                </c:pt>
                <c:pt idx="2">
                  <c:v>Para trabalhar e estudar</c:v>
                </c:pt>
                <c:pt idx="3">
                  <c:v>Para trabalhar ou estudar</c:v>
                </c:pt>
                <c:pt idx="4">
                  <c:v>Outro</c:v>
                </c:pt>
                <c:pt idx="5">
                  <c:v>NS/NR</c:v>
                </c:pt>
              </c:strCache>
            </c:strRef>
          </c:cat>
          <c:val>
            <c:numRef>
              <c:f>'8'!$B$22:$B$27</c:f>
              <c:numCache>
                <c:formatCode>General</c:formatCode>
                <c:ptCount val="6"/>
                <c:pt idx="0">
                  <c:v>984</c:v>
                </c:pt>
                <c:pt idx="1">
                  <c:v>153</c:v>
                </c:pt>
                <c:pt idx="2">
                  <c:v>38</c:v>
                </c:pt>
                <c:pt idx="3">
                  <c:v>4</c:v>
                </c:pt>
                <c:pt idx="4">
                  <c:v>20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592128"/>
        <c:axId val="168593664"/>
        <c:axId val="0"/>
      </c:bar3DChart>
      <c:catAx>
        <c:axId val="16859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PT"/>
          </a:p>
        </c:txPr>
        <c:crossAx val="168593664"/>
        <c:crosses val="autoZero"/>
        <c:auto val="1"/>
        <c:lblAlgn val="ctr"/>
        <c:lblOffset val="100"/>
        <c:noMultiLvlLbl val="0"/>
      </c:catAx>
      <c:valAx>
        <c:axId val="1685936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85921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1" i="0" u="none" strike="noStrike" baseline="0">
          <a:solidFill>
            <a:srgbClr val="000000"/>
          </a:solidFill>
          <a:latin typeface="National Bold" pitchFamily="50" charset="0"/>
          <a:ea typeface="National Bold" pitchFamily="50" charset="0"/>
          <a:cs typeface="Calibri"/>
        </a:defRPr>
      </a:pPr>
      <a:endParaRPr lang="pt-PT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t-PT" sz="1200"/>
              <a:t>Gráfico 12. Com que motivações?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7650499016776514"/>
          <c:w val="0.97214484679665747"/>
          <c:h val="0.59947210360460412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9.6969696969697212E-3"/>
                  <c:y val="-1.7590149516270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6969696969697212E-3"/>
                  <c:y val="-2.1108179419525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45454545454545E-2"/>
                  <c:y val="-2.1108179419525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545454545454545E-2"/>
                  <c:y val="-2.1108179419525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808080808080808E-3"/>
                  <c:y val="-2.4626209322779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545454545454545E-2"/>
                  <c:y val="-2.4626209322779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313131313131471E-2"/>
                  <c:y val="-1.7590149516270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'8'!$A$32:$A$38</c:f>
              <c:strCache>
                <c:ptCount val="7"/>
                <c:pt idx="0">
                  <c:v>Melhores perspetivas de emprego</c:v>
                </c:pt>
                <c:pt idx="1">
                  <c:v>Melhores condições salariais</c:v>
                </c:pt>
                <c:pt idx="2">
                  <c:v>Ambição Pessoal</c:v>
                </c:pt>
                <c:pt idx="3">
                  <c:v>Razões Culturais</c:v>
                </c:pt>
                <c:pt idx="4">
                  <c:v>Condições pouco propícias à dinâmica empreendedora</c:v>
                </c:pt>
                <c:pt idx="5">
                  <c:v>Outras</c:v>
                </c:pt>
                <c:pt idx="6">
                  <c:v>NS/NR</c:v>
                </c:pt>
              </c:strCache>
            </c:strRef>
          </c:cat>
          <c:val>
            <c:numRef>
              <c:f>'8'!$B$32:$B$38</c:f>
              <c:numCache>
                <c:formatCode>General</c:formatCode>
                <c:ptCount val="7"/>
                <c:pt idx="0">
                  <c:v>877</c:v>
                </c:pt>
                <c:pt idx="1">
                  <c:v>617</c:v>
                </c:pt>
                <c:pt idx="2">
                  <c:v>506</c:v>
                </c:pt>
                <c:pt idx="3">
                  <c:v>158</c:v>
                </c:pt>
                <c:pt idx="4">
                  <c:v>56</c:v>
                </c:pt>
                <c:pt idx="5">
                  <c:v>43</c:v>
                </c:pt>
                <c:pt idx="6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508032"/>
        <c:axId val="168513920"/>
        <c:axId val="0"/>
      </c:bar3DChart>
      <c:catAx>
        <c:axId val="16850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t-PT"/>
          </a:p>
        </c:txPr>
        <c:crossAx val="168513920"/>
        <c:crosses val="autoZero"/>
        <c:auto val="1"/>
        <c:lblAlgn val="ctr"/>
        <c:lblOffset val="100"/>
        <c:noMultiLvlLbl val="0"/>
      </c:catAx>
      <c:valAx>
        <c:axId val="168513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8508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1" i="0" u="none" strike="noStrike" baseline="0">
          <a:solidFill>
            <a:srgbClr val="000000"/>
          </a:solidFill>
          <a:latin typeface="National Bold" pitchFamily="50" charset="0"/>
          <a:ea typeface="National Bold" pitchFamily="50" charset="0"/>
          <a:cs typeface="Calibri"/>
        </a:defRPr>
      </a:pPr>
      <a:endParaRPr lang="pt-PT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t-PT" sz="1200"/>
              <a:t>Gráfico 13. Ponderas voltar?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21703346144869E-2"/>
          <c:y val="0.2544664527408706"/>
          <c:w val="0.72306254488046418"/>
          <c:h val="0.631819958675378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5663676590511075E-2"/>
                  <c:y val="-0.1354610386816401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3401649641045379E-2"/>
                  <c:y val="4.09285582346396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'8'!$A$43:$A$45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NS/NR</c:v>
                </c:pt>
              </c:strCache>
            </c:strRef>
          </c:cat>
          <c:val>
            <c:numRef>
              <c:f>'8'!$C$43:$C$45</c:f>
              <c:numCache>
                <c:formatCode>0.0%</c:formatCode>
                <c:ptCount val="3"/>
                <c:pt idx="0">
                  <c:v>0.8527708850289496</c:v>
                </c:pt>
                <c:pt idx="1">
                  <c:v>0.13895781637717144</c:v>
                </c:pt>
                <c:pt idx="2">
                  <c:v>8.2712985938792546E-3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000" b="1" i="0" u="none" strike="noStrike" baseline="0">
          <a:solidFill>
            <a:srgbClr val="000000"/>
          </a:solidFill>
          <a:latin typeface="National Bold" pitchFamily="50" charset="0"/>
          <a:ea typeface="National Bold" pitchFamily="50" charset="0"/>
          <a:cs typeface="Calibri"/>
        </a:defRPr>
      </a:pPr>
      <a:endParaRPr lang="pt-PT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t-PT" sz="1200"/>
              <a:t>Gráfico 14. Porque razões não ponderas emigrar?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5810276679841896E-2"/>
                  <c:y val="-3.7243947858473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593763724198511E-2"/>
                  <c:y val="-4.4692737430167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80368906455892E-2"/>
                  <c:y val="-4.4692737430167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323671497584599E-2"/>
                  <c:y val="-4.0968342644320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'8'!$A$50:$A$53</c:f>
              <c:strCache>
                <c:ptCount val="4"/>
                <c:pt idx="0">
                  <c:v>Vinculo familiar</c:v>
                </c:pt>
                <c:pt idx="1">
                  <c:v>Identificação Cultural</c:v>
                </c:pt>
                <c:pt idx="2">
                  <c:v>Outras</c:v>
                </c:pt>
                <c:pt idx="3">
                  <c:v>NS/NR</c:v>
                </c:pt>
              </c:strCache>
            </c:strRef>
          </c:cat>
          <c:val>
            <c:numRef>
              <c:f>'8'!$B$50:$B$53</c:f>
              <c:numCache>
                <c:formatCode>General</c:formatCode>
                <c:ptCount val="4"/>
                <c:pt idx="0">
                  <c:v>193</c:v>
                </c:pt>
                <c:pt idx="1">
                  <c:v>205</c:v>
                </c:pt>
                <c:pt idx="2">
                  <c:v>162</c:v>
                </c:pt>
                <c:pt idx="3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770560"/>
        <c:axId val="168772352"/>
        <c:axId val="0"/>
      </c:bar3DChart>
      <c:catAx>
        <c:axId val="16877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PT"/>
          </a:p>
        </c:txPr>
        <c:crossAx val="168772352"/>
        <c:crosses val="autoZero"/>
        <c:auto val="1"/>
        <c:lblAlgn val="ctr"/>
        <c:lblOffset val="100"/>
        <c:noMultiLvlLbl val="0"/>
      </c:catAx>
      <c:valAx>
        <c:axId val="168772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87705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1" i="0" u="none" strike="noStrike" baseline="0">
          <a:solidFill>
            <a:srgbClr val="000000"/>
          </a:solidFill>
          <a:latin typeface="National Bold" pitchFamily="50" charset="0"/>
          <a:ea typeface="National Bold" pitchFamily="50" charset="0"/>
          <a:cs typeface="Calibri"/>
        </a:defRPr>
      </a:pPr>
      <a:endParaRPr lang="pt-PT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t-PT" sz="1200">
                <a:latin typeface="National Bold" pitchFamily="50" charset="0"/>
                <a:ea typeface="National Bold" pitchFamily="50" charset="0"/>
              </a:rPr>
              <a:t>Gráfico</a:t>
            </a:r>
            <a:r>
              <a:rPr lang="pt-PT" sz="1200" baseline="0">
                <a:latin typeface="National Bold" pitchFamily="50" charset="0"/>
                <a:ea typeface="National Bold" pitchFamily="50" charset="0"/>
              </a:rPr>
              <a:t> 15</a:t>
            </a:r>
            <a:r>
              <a:rPr lang="pt-PT" sz="1200">
                <a:latin typeface="National Bold" pitchFamily="50" charset="0"/>
                <a:ea typeface="National Bold" pitchFamily="50" charset="0"/>
              </a:rPr>
              <a:t>. Conheces os mecanismos informativos sobre os diversos países europeus?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918403018913075E-2"/>
          <c:y val="0.3067055174476227"/>
          <c:w val="0.82521502531124546"/>
          <c:h val="0.6559708024168488"/>
        </c:manualLayout>
      </c:layout>
      <c:pie3DChart>
        <c:varyColors val="1"/>
        <c:ser>
          <c:idx val="0"/>
          <c:order val="0"/>
          <c:explosion val="28"/>
          <c:dLbls>
            <c:dLbl>
              <c:idx val="0"/>
              <c:layout>
                <c:manualLayout>
                  <c:x val="-4.0947911042687891E-2"/>
                  <c:y val="-8.68089490404472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9601976747813146E-3"/>
                  <c:y val="-5.27874015748031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National Bold" pitchFamily="50" charset="0"/>
                    <a:ea typeface="National Bold" pitchFamily="50" charset="0"/>
                    <a:cs typeface="Calibri"/>
                  </a:defRPr>
                </a:pPr>
                <a:endParaRPr lang="pt-P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'9'!$A$2:$A$4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NS/NR</c:v>
                </c:pt>
              </c:strCache>
            </c:strRef>
          </c:cat>
          <c:val>
            <c:numRef>
              <c:f>'9'!$B$2:$B$4</c:f>
              <c:numCache>
                <c:formatCode>General</c:formatCode>
                <c:ptCount val="3"/>
                <c:pt idx="0">
                  <c:v>703</c:v>
                </c:pt>
                <c:pt idx="1">
                  <c:v>1039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explosion val="25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t-P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'9'!$A$2:$A$4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NS/NR</c:v>
                </c:pt>
              </c:strCache>
            </c:strRef>
          </c:cat>
          <c:val>
            <c:numRef>
              <c:f>'9'!$C$2:$C$4</c:f>
              <c:numCache>
                <c:formatCode>0.0%</c:formatCode>
                <c:ptCount val="3"/>
                <c:pt idx="0">
                  <c:v>0.40148486579097792</c:v>
                </c:pt>
                <c:pt idx="1">
                  <c:v>0.59337521416333561</c:v>
                </c:pt>
                <c:pt idx="2">
                  <c:v>5.1399200456881912E-3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PT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16. Relação entre Grupo Etário e Programa de Mobilidade Internacional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Folha14!$C$1</c:f>
              <c:strCache>
                <c:ptCount val="1"/>
                <c:pt idx="0">
                  <c:v>% qt. ao total de respostas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Folha14!$A$2:$B$11</c:f>
              <c:multiLvlStrCache>
                <c:ptCount val="10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  <c:pt idx="4">
                    <c:v>Sim</c:v>
                  </c:pt>
                  <c:pt idx="5">
                    <c:v>Não</c:v>
                  </c:pt>
                  <c:pt idx="6">
                    <c:v>Sim</c:v>
                  </c:pt>
                  <c:pt idx="7">
                    <c:v>Não</c:v>
                  </c:pt>
                  <c:pt idx="8">
                    <c:v>Sim</c:v>
                  </c:pt>
                  <c:pt idx="9">
                    <c:v>Não</c:v>
                  </c:pt>
                </c:lvl>
                <c:lvl>
                  <c:pt idx="0">
                    <c:v>15-19 anos</c:v>
                  </c:pt>
                  <c:pt idx="2">
                    <c:v>20-24 anos</c:v>
                  </c:pt>
                  <c:pt idx="4">
                    <c:v>25-29 anos</c:v>
                  </c:pt>
                  <c:pt idx="6">
                    <c:v>30-34 anos</c:v>
                  </c:pt>
                  <c:pt idx="8">
                    <c:v>Mais de 35 anos</c:v>
                  </c:pt>
                </c:lvl>
              </c:multiLvlStrCache>
            </c:multiLvlStrRef>
          </c:cat>
          <c:val>
            <c:numRef>
              <c:f>Folha14!$C$2:$C$11</c:f>
              <c:numCache>
                <c:formatCode>0.00%</c:formatCode>
                <c:ptCount val="10"/>
                <c:pt idx="0">
                  <c:v>1.7999999999999999E-2</c:v>
                </c:pt>
                <c:pt idx="1">
                  <c:v>0.15600000000000022</c:v>
                </c:pt>
                <c:pt idx="2">
                  <c:v>9.3000000000000166E-2</c:v>
                </c:pt>
                <c:pt idx="3">
                  <c:v>0.54300000000000004</c:v>
                </c:pt>
                <c:pt idx="4">
                  <c:v>1.7000000000000001E-2</c:v>
                </c:pt>
                <c:pt idx="5">
                  <c:v>0.114</c:v>
                </c:pt>
                <c:pt idx="6">
                  <c:v>6.0000000000000071E-3</c:v>
                </c:pt>
                <c:pt idx="7" formatCode="0%">
                  <c:v>3.0000000000000002E-2</c:v>
                </c:pt>
                <c:pt idx="8">
                  <c:v>2.0000000000000031E-3</c:v>
                </c:pt>
                <c:pt idx="9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313216"/>
        <c:axId val="168314752"/>
        <c:axId val="0"/>
      </c:bar3DChart>
      <c:catAx>
        <c:axId val="16831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314752"/>
        <c:crosses val="autoZero"/>
        <c:auto val="1"/>
        <c:lblAlgn val="ctr"/>
        <c:lblOffset val="100"/>
        <c:noMultiLvlLbl val="0"/>
      </c:catAx>
      <c:valAx>
        <c:axId val="1683147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8313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Gráfico 17. Relação entre Grupo etário e realização de programas de mobilidade internacional
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90998627157599"/>
          <c:y val="0.18664701719417204"/>
          <c:w val="0.86115376606148519"/>
          <c:h val="0.5104710307226215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Folha26!$C$1</c:f>
              <c:strCache>
                <c:ptCount val="1"/>
                <c:pt idx="0">
                  <c:v>% qt. ao total de respostas no segmento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3488636747211624E-3"/>
                  <c:y val="-5.5450924076551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701829550717926E-2"/>
                  <c:y val="-0.258625675948510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488636747211624E-3"/>
                  <c:y val="-6.6541108891861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14734857434938E-2"/>
                  <c:y val="-0.24369196618716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7984848996282171E-3"/>
                  <c:y val="-6.3768562688033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248147290412228E-2"/>
                  <c:y val="-0.244765662088496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48897599216071E-2"/>
                  <c:y val="-6.9319284624982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248106124535271E-2"/>
                  <c:y val="-0.228133603660676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248106124535271E-2"/>
                  <c:y val="-5.2678377872723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7985178323297829E-3"/>
                  <c:y val="-0.275797250915361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Folha26!$A$2:$B$11</c:f>
              <c:multiLvlStrCache>
                <c:ptCount val="10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  <c:pt idx="4">
                    <c:v>Sim</c:v>
                  </c:pt>
                  <c:pt idx="5">
                    <c:v>Não</c:v>
                  </c:pt>
                  <c:pt idx="6">
                    <c:v>Sim</c:v>
                  </c:pt>
                  <c:pt idx="7">
                    <c:v>Não</c:v>
                  </c:pt>
                  <c:pt idx="8">
                    <c:v>Sim</c:v>
                  </c:pt>
                  <c:pt idx="9">
                    <c:v>Não</c:v>
                  </c:pt>
                </c:lvl>
                <c:lvl>
                  <c:pt idx="0">
                    <c:v>15-19 anos</c:v>
                  </c:pt>
                  <c:pt idx="2">
                    <c:v>20-24 anos</c:v>
                  </c:pt>
                  <c:pt idx="4">
                    <c:v>25-29 anos</c:v>
                  </c:pt>
                  <c:pt idx="6">
                    <c:v>30-34 anos</c:v>
                  </c:pt>
                  <c:pt idx="8">
                    <c:v>Mais de 35 anos</c:v>
                  </c:pt>
                </c:lvl>
              </c:multiLvlStrCache>
            </c:multiLvlStrRef>
          </c:cat>
          <c:val>
            <c:numRef>
              <c:f>Folha26!$C$2:$C$11</c:f>
              <c:numCache>
                <c:formatCode>0.0%</c:formatCode>
                <c:ptCount val="10"/>
                <c:pt idx="0">
                  <c:v>0.10491803278688526</c:v>
                </c:pt>
                <c:pt idx="1">
                  <c:v>0.89508196721311473</c:v>
                </c:pt>
                <c:pt idx="2">
                  <c:v>0.14645103324348616</c:v>
                </c:pt>
                <c:pt idx="3">
                  <c:v>0.85354896675651393</c:v>
                </c:pt>
                <c:pt idx="4">
                  <c:v>0.13100436681222724</c:v>
                </c:pt>
                <c:pt idx="5">
                  <c:v>0.86899563318777384</c:v>
                </c:pt>
                <c:pt idx="6">
                  <c:v>0.1587301587301588</c:v>
                </c:pt>
                <c:pt idx="7">
                  <c:v>0.84126984126984161</c:v>
                </c:pt>
                <c:pt idx="8">
                  <c:v>7.3170731707317069E-2</c:v>
                </c:pt>
                <c:pt idx="9">
                  <c:v>0.92682926829268331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68347904"/>
        <c:axId val="168525824"/>
        <c:axId val="0"/>
      </c:bar3DChart>
      <c:catAx>
        <c:axId val="168347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525824"/>
        <c:crosses val="autoZero"/>
        <c:auto val="1"/>
        <c:lblAlgn val="ctr"/>
        <c:lblOffset val="100"/>
        <c:noMultiLvlLbl val="0"/>
      </c:catAx>
      <c:valAx>
        <c:axId val="168525824"/>
        <c:scaling>
          <c:orientation val="minMax"/>
        </c:scaling>
        <c:delete val="0"/>
        <c:axPos val="l"/>
        <c:majorGridlines/>
        <c:numFmt formatCode="0.00%" sourceLinked="0"/>
        <c:majorTickMark val="none"/>
        <c:minorTickMark val="none"/>
        <c:tickLblPos val="nextTo"/>
        <c:spPr>
          <a:ln w="9525">
            <a:noFill/>
          </a:ln>
        </c:spPr>
        <c:crossAx val="168347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641074981875399"/>
          <c:y val="0.93236570283530229"/>
          <c:w val="0.51207599993829922"/>
          <c:h val="6.7634297164697738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t-PT" sz="1200"/>
              <a:t>Gráfico 18. Relação entre Grupo Etário e Possibilidade de Emigrar</a:t>
            </a:r>
          </a:p>
        </c:rich>
      </c:tx>
      <c:layout>
        <c:manualLayout>
          <c:xMode val="edge"/>
          <c:yMode val="edge"/>
          <c:x val="0.1498951917420869"/>
          <c:y val="2.259164067787968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Folha15!$C$1</c:f>
              <c:strCache>
                <c:ptCount val="1"/>
                <c:pt idx="0">
                  <c:v>% qts ao total de respostas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Folha15!$A$2:$B$11</c:f>
              <c:multiLvlStrCache>
                <c:ptCount val="10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  <c:pt idx="4">
                    <c:v>Sim</c:v>
                  </c:pt>
                  <c:pt idx="5">
                    <c:v>Não</c:v>
                  </c:pt>
                  <c:pt idx="6">
                    <c:v>Sim</c:v>
                  </c:pt>
                  <c:pt idx="7">
                    <c:v>Não</c:v>
                  </c:pt>
                  <c:pt idx="8">
                    <c:v>Sim</c:v>
                  </c:pt>
                  <c:pt idx="9">
                    <c:v>Não</c:v>
                  </c:pt>
                </c:lvl>
                <c:lvl>
                  <c:pt idx="0">
                    <c:v>15-19 anos</c:v>
                  </c:pt>
                  <c:pt idx="2">
                    <c:v>20-24 anos</c:v>
                  </c:pt>
                  <c:pt idx="4">
                    <c:v>25-29 anos</c:v>
                  </c:pt>
                  <c:pt idx="6">
                    <c:v>30-34 anos</c:v>
                  </c:pt>
                  <c:pt idx="8">
                    <c:v>Mais de 35 anos</c:v>
                  </c:pt>
                </c:lvl>
              </c:multiLvlStrCache>
            </c:multiLvlStrRef>
          </c:cat>
          <c:val>
            <c:numRef>
              <c:f>Folha15!$C$2:$C$11</c:f>
              <c:numCache>
                <c:formatCode>0.00%</c:formatCode>
                <c:ptCount val="10"/>
                <c:pt idx="0">
                  <c:v>0.11700000000000002</c:v>
                </c:pt>
                <c:pt idx="1">
                  <c:v>5.7000000000000023E-2</c:v>
                </c:pt>
                <c:pt idx="2">
                  <c:v>0.44</c:v>
                </c:pt>
                <c:pt idx="3">
                  <c:v>0.19500000000000001</c:v>
                </c:pt>
                <c:pt idx="4">
                  <c:v>9.9000000000000046E-2</c:v>
                </c:pt>
                <c:pt idx="5">
                  <c:v>3.2000000000000042E-2</c:v>
                </c:pt>
                <c:pt idx="6">
                  <c:v>2.3E-2</c:v>
                </c:pt>
                <c:pt idx="7">
                  <c:v>1.2999999999999998E-2</c:v>
                </c:pt>
                <c:pt idx="8">
                  <c:v>1.0999999999999998E-2</c:v>
                </c:pt>
                <c:pt idx="9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849792"/>
        <c:axId val="168851328"/>
        <c:axId val="0"/>
      </c:bar3DChart>
      <c:catAx>
        <c:axId val="16884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851328"/>
        <c:crosses val="autoZero"/>
        <c:auto val="1"/>
        <c:lblAlgn val="ctr"/>
        <c:lblOffset val="100"/>
        <c:noMultiLvlLbl val="0"/>
      </c:catAx>
      <c:valAx>
        <c:axId val="1688513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88497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19. Relação entre Grupo Etário e Possibilidade de Emigrar
</a:t>
            </a:r>
          </a:p>
        </c:rich>
      </c:tx>
      <c:layout>
        <c:manualLayout>
          <c:xMode val="edge"/>
          <c:yMode val="edge"/>
          <c:x val="0.1468888888888889"/>
          <c:y val="2.324561216190905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30796150481188"/>
          <c:y val="0.27153944298629329"/>
          <c:w val="0.85658092738407732"/>
          <c:h val="0.3539643482064743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Folha27!$C$1</c:f>
              <c:strCache>
                <c:ptCount val="1"/>
                <c:pt idx="0">
                  <c:v>% qt. ao total de respostas no segmento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11111111111117E-2"/>
                  <c:y val="-0.162719285133363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67E-3"/>
                  <c:y val="-9.2982448647636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17E-2"/>
                  <c:y val="-0.162719285133363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111111111111117E-2"/>
                  <c:y val="-9.6856717341287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110891210411984E-2"/>
                  <c:y val="-0.176720023921060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888923884514435E-2"/>
                  <c:y val="-8.9118293352865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5555555555555558E-3"/>
                  <c:y val="-0.147222210358757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5555381621034943E-3"/>
                  <c:y val="-0.104615455044863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120102329503196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5555555555555558E-3"/>
                  <c:y val="-0.139480821387059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Folha27!$A$2:$B$11</c:f>
              <c:multiLvlStrCache>
                <c:ptCount val="10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  <c:pt idx="4">
                    <c:v>Sim</c:v>
                  </c:pt>
                  <c:pt idx="5">
                    <c:v>Não</c:v>
                  </c:pt>
                  <c:pt idx="6">
                    <c:v>Sim</c:v>
                  </c:pt>
                  <c:pt idx="7">
                    <c:v>Não</c:v>
                  </c:pt>
                  <c:pt idx="8">
                    <c:v>Sim</c:v>
                  </c:pt>
                  <c:pt idx="9">
                    <c:v>Não</c:v>
                  </c:pt>
                </c:lvl>
                <c:lvl>
                  <c:pt idx="0">
                    <c:v>15-19 anos</c:v>
                  </c:pt>
                  <c:pt idx="2">
                    <c:v>20-24 anos</c:v>
                  </c:pt>
                  <c:pt idx="4">
                    <c:v>25-29 anos</c:v>
                  </c:pt>
                  <c:pt idx="6">
                    <c:v>30-34 anos</c:v>
                  </c:pt>
                  <c:pt idx="8">
                    <c:v>Mais de 35 anos</c:v>
                  </c:pt>
                </c:lvl>
              </c:multiLvlStrCache>
            </c:multiLvlStrRef>
          </c:cat>
          <c:val>
            <c:numRef>
              <c:f>Folha27!$C$2:$C$11</c:f>
              <c:numCache>
                <c:formatCode>0.0%</c:formatCode>
                <c:ptCount val="10"/>
                <c:pt idx="0">
                  <c:v>0.67213114754098402</c:v>
                </c:pt>
                <c:pt idx="1">
                  <c:v>0.32786885245901654</c:v>
                </c:pt>
                <c:pt idx="2">
                  <c:v>0.6927223719676544</c:v>
                </c:pt>
                <c:pt idx="3">
                  <c:v>0.30727762803234521</c:v>
                </c:pt>
                <c:pt idx="4">
                  <c:v>0.75545851528384311</c:v>
                </c:pt>
                <c:pt idx="5">
                  <c:v>0.24454148471615736</c:v>
                </c:pt>
                <c:pt idx="6">
                  <c:v>0.63492063492063522</c:v>
                </c:pt>
                <c:pt idx="7">
                  <c:v>0.36507936507936539</c:v>
                </c:pt>
                <c:pt idx="8">
                  <c:v>0.48780487804878075</c:v>
                </c:pt>
                <c:pt idx="9">
                  <c:v>0.51219512195121919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68876288"/>
        <c:axId val="168886272"/>
        <c:axId val="0"/>
      </c:bar3DChart>
      <c:catAx>
        <c:axId val="168876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886272"/>
        <c:crosses val="autoZero"/>
        <c:auto val="1"/>
        <c:lblAlgn val="ctr"/>
        <c:lblOffset val="100"/>
        <c:noMultiLvlLbl val="0"/>
      </c:catAx>
      <c:valAx>
        <c:axId val="168886272"/>
        <c:scaling>
          <c:orientation val="minMax"/>
        </c:scaling>
        <c:delete val="0"/>
        <c:axPos val="l"/>
        <c:majorGridlines/>
        <c:numFmt formatCode="0.00%" sourceLinked="0"/>
        <c:majorTickMark val="none"/>
        <c:minorTickMark val="none"/>
        <c:tickLblPos val="nextTo"/>
        <c:spPr>
          <a:ln w="9525">
            <a:noFill/>
          </a:ln>
        </c:spPr>
        <c:crossAx val="168876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678149606299231"/>
          <c:y val="0.91628280839894982"/>
          <c:w val="0.58088145231846056"/>
          <c:h val="8.371719160104991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2. Grupo Etário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Folha19!$B$9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Folha19!$A$10:$A$14</c:f>
              <c:strCache>
                <c:ptCount val="5"/>
                <c:pt idx="0">
                  <c:v>15-19 anos</c:v>
                </c:pt>
                <c:pt idx="1">
                  <c:v>20-24 anos</c:v>
                </c:pt>
                <c:pt idx="2">
                  <c:v>25-29 anos</c:v>
                </c:pt>
                <c:pt idx="3">
                  <c:v>30-34 anos</c:v>
                </c:pt>
                <c:pt idx="4">
                  <c:v>Mais de 35 anos</c:v>
                </c:pt>
              </c:strCache>
            </c:strRef>
          </c:cat>
          <c:val>
            <c:numRef>
              <c:f>Folha19!$B$10:$B$14</c:f>
              <c:numCache>
                <c:formatCode>0.00%</c:formatCode>
                <c:ptCount val="5"/>
                <c:pt idx="0">
                  <c:v>0.17400000000000004</c:v>
                </c:pt>
                <c:pt idx="1">
                  <c:v>0.63600000000000034</c:v>
                </c:pt>
                <c:pt idx="2">
                  <c:v>0.13100000000000001</c:v>
                </c:pt>
                <c:pt idx="3">
                  <c:v>3.5999999999999997E-2</c:v>
                </c:pt>
                <c:pt idx="4">
                  <c:v>2.3E-2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698496"/>
        <c:axId val="165741312"/>
        <c:axId val="0"/>
      </c:bar3DChart>
      <c:catAx>
        <c:axId val="9469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741312"/>
        <c:crosses val="autoZero"/>
        <c:auto val="1"/>
        <c:lblAlgn val="ctr"/>
        <c:lblOffset val="100"/>
        <c:noMultiLvlLbl val="0"/>
      </c:catAx>
      <c:valAx>
        <c:axId val="1657413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4698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20. Relação entre Área de Estudos e Realização de Programas de Mobilidade Internacional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Folha16!$C$1</c:f>
              <c:strCache>
                <c:ptCount val="1"/>
                <c:pt idx="0">
                  <c:v>% qt. ao total de respostas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Folha16!$A$2:$B$11</c:f>
              <c:multiLvlStrCache>
                <c:ptCount val="10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  <c:pt idx="4">
                    <c:v>Sim</c:v>
                  </c:pt>
                  <c:pt idx="5">
                    <c:v>Não</c:v>
                  </c:pt>
                  <c:pt idx="6">
                    <c:v>Sim</c:v>
                  </c:pt>
                  <c:pt idx="7">
                    <c:v>Não</c:v>
                  </c:pt>
                  <c:pt idx="8">
                    <c:v>Sim</c:v>
                  </c:pt>
                  <c:pt idx="9">
                    <c:v>Não</c:v>
                  </c:pt>
                </c:lvl>
                <c:lvl>
                  <c:pt idx="0">
                    <c:v>Ciências da Saúde</c:v>
                  </c:pt>
                  <c:pt idx="2">
                    <c:v>Ciências Naturais ou Exatas</c:v>
                  </c:pt>
                  <c:pt idx="4">
                    <c:v>Engenharia e Tecnologias</c:v>
                  </c:pt>
                  <c:pt idx="6">
                    <c:v>Humanidades, C. Sociais ou Jurídico-Económicas</c:v>
                  </c:pt>
                  <c:pt idx="8">
                    <c:v>Arquitetura e Artes</c:v>
                  </c:pt>
                </c:lvl>
              </c:multiLvlStrCache>
            </c:multiLvlStrRef>
          </c:cat>
          <c:val>
            <c:numRef>
              <c:f>Folha16!$C$2:$C$11</c:f>
              <c:numCache>
                <c:formatCode>0.00%</c:formatCode>
                <c:ptCount val="10"/>
                <c:pt idx="0">
                  <c:v>2.5000000000000001E-2</c:v>
                </c:pt>
                <c:pt idx="1">
                  <c:v>0.15200000000000019</c:v>
                </c:pt>
                <c:pt idx="2">
                  <c:v>1.4999999999999998E-2</c:v>
                </c:pt>
                <c:pt idx="3">
                  <c:v>0.1</c:v>
                </c:pt>
                <c:pt idx="4">
                  <c:v>3.1000000000000034E-2</c:v>
                </c:pt>
                <c:pt idx="5">
                  <c:v>0.26600000000000001</c:v>
                </c:pt>
                <c:pt idx="6">
                  <c:v>6.2000000000000034E-2</c:v>
                </c:pt>
                <c:pt idx="7">
                  <c:v>0.32600000000000046</c:v>
                </c:pt>
                <c:pt idx="8">
                  <c:v>3.0000000000000035E-3</c:v>
                </c:pt>
                <c:pt idx="9">
                  <c:v>2.1000000000000012E-2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911616"/>
        <c:axId val="168913152"/>
        <c:axId val="0"/>
      </c:bar3DChart>
      <c:catAx>
        <c:axId val="168911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913152"/>
        <c:crosses val="autoZero"/>
        <c:auto val="1"/>
        <c:lblAlgn val="ctr"/>
        <c:lblOffset val="100"/>
        <c:noMultiLvlLbl val="0"/>
      </c:catAx>
      <c:valAx>
        <c:axId val="1689131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89116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21. Relação entre Área de Estudos e Realização de Programas de Mobilidade Internacional
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80172047202795"/>
          <c:y val="0.24492706187117194"/>
          <c:w val="0.85360892388451493"/>
          <c:h val="0.398431758530183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Folha29!$C$1</c:f>
              <c:strCache>
                <c:ptCount val="1"/>
                <c:pt idx="0">
                  <c:v>% qt. ao total de respostas no segmento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4144593356168996E-3"/>
                  <c:y val="-5.5721563067203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216203523158448E-3"/>
                  <c:y val="-0.20823279567197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21689003425379E-3"/>
                  <c:y val="-5.2788849221560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8289430976896E-3"/>
                  <c:y val="-0.205297808242405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144593356169179E-3"/>
                  <c:y val="-5.2788849221560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8289430976896E-3"/>
                  <c:y val="-0.2199646600254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036148339042299E-2"/>
                  <c:y val="-5.2788849221560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34960235141621E-3"/>
                  <c:y val="-0.2141025395206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8289186712338322E-3"/>
                  <c:y val="-6.1586990758487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036091901160644E-2"/>
                  <c:y val="-0.20823164061985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Folha29!$A$2:$B$11</c:f>
              <c:multiLvlStrCache>
                <c:ptCount val="10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  <c:pt idx="4">
                    <c:v>Sim</c:v>
                  </c:pt>
                  <c:pt idx="5">
                    <c:v>Não</c:v>
                  </c:pt>
                  <c:pt idx="6">
                    <c:v>Sim</c:v>
                  </c:pt>
                  <c:pt idx="7">
                    <c:v>Não</c:v>
                  </c:pt>
                  <c:pt idx="8">
                    <c:v>Sim</c:v>
                  </c:pt>
                  <c:pt idx="9">
                    <c:v>Não</c:v>
                  </c:pt>
                </c:lvl>
                <c:lvl>
                  <c:pt idx="0">
                    <c:v>Ciências da Saúde</c:v>
                  </c:pt>
                  <c:pt idx="2">
                    <c:v>Ciências Naturais ou Exatas</c:v>
                  </c:pt>
                  <c:pt idx="4">
                    <c:v>Engenharia e Tecnologias</c:v>
                  </c:pt>
                  <c:pt idx="6">
                    <c:v>Humanidades, C. Sociais ou Jurídico-Económicas</c:v>
                  </c:pt>
                  <c:pt idx="8">
                    <c:v>Arquitetura e Artes</c:v>
                  </c:pt>
                </c:lvl>
              </c:multiLvlStrCache>
            </c:multiLvlStrRef>
          </c:cat>
          <c:val>
            <c:numRef>
              <c:f>Folha29!$C$2:$C$11</c:f>
              <c:numCache>
                <c:formatCode>0.0%</c:formatCode>
                <c:ptCount val="10"/>
                <c:pt idx="0">
                  <c:v>0.14193548387096797</c:v>
                </c:pt>
                <c:pt idx="1">
                  <c:v>0.85806451612903256</c:v>
                </c:pt>
                <c:pt idx="2">
                  <c:v>0.1336633663366337</c:v>
                </c:pt>
                <c:pt idx="3">
                  <c:v>0.86633663366336666</c:v>
                </c:pt>
                <c:pt idx="4">
                  <c:v>0.10384615384615394</c:v>
                </c:pt>
                <c:pt idx="5">
                  <c:v>0.89615384615384652</c:v>
                </c:pt>
                <c:pt idx="6">
                  <c:v>0.15929203539823025</c:v>
                </c:pt>
                <c:pt idx="7">
                  <c:v>0.84070796460176989</c:v>
                </c:pt>
                <c:pt idx="8">
                  <c:v>0.12195121951219511</c:v>
                </c:pt>
                <c:pt idx="9">
                  <c:v>0.87804878048780521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94640768"/>
        <c:axId val="169025920"/>
        <c:axId val="0"/>
      </c:bar3DChart>
      <c:catAx>
        <c:axId val="946407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pt-PT"/>
          </a:p>
        </c:txPr>
        <c:crossAx val="169025920"/>
        <c:crosses val="autoZero"/>
        <c:auto val="1"/>
        <c:lblAlgn val="ctr"/>
        <c:lblOffset val="100"/>
        <c:noMultiLvlLbl val="0"/>
      </c:catAx>
      <c:valAx>
        <c:axId val="169025920"/>
        <c:scaling>
          <c:orientation val="minMax"/>
        </c:scaling>
        <c:delete val="0"/>
        <c:axPos val="l"/>
        <c:majorGridlines/>
        <c:numFmt formatCode="0.00%" sourceLinked="0"/>
        <c:majorTickMark val="none"/>
        <c:minorTickMark val="none"/>
        <c:tickLblPos val="nextTo"/>
        <c:spPr>
          <a:ln w="9525">
            <a:noFill/>
          </a:ln>
        </c:spPr>
        <c:crossAx val="94640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521624886109951"/>
          <c:y val="0.91969287515683562"/>
          <c:w val="0.54956729534604221"/>
          <c:h val="8.030712484316449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22. Relação entre Área de Estudos e Possibilidade de Emigrar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Folha17!$C$1</c:f>
              <c:strCache>
                <c:ptCount val="1"/>
                <c:pt idx="0">
                  <c:v>% qt. ao total de respostas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Folha17!$A$2:$B$11</c:f>
              <c:multiLvlStrCache>
                <c:ptCount val="10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  <c:pt idx="4">
                    <c:v>Sim</c:v>
                  </c:pt>
                  <c:pt idx="5">
                    <c:v>Não</c:v>
                  </c:pt>
                  <c:pt idx="6">
                    <c:v>Sim</c:v>
                  </c:pt>
                  <c:pt idx="7">
                    <c:v>Não</c:v>
                  </c:pt>
                  <c:pt idx="8">
                    <c:v>Sim</c:v>
                  </c:pt>
                  <c:pt idx="9">
                    <c:v>Não</c:v>
                  </c:pt>
                </c:lvl>
                <c:lvl>
                  <c:pt idx="0">
                    <c:v>Ciências da Saúde</c:v>
                  </c:pt>
                  <c:pt idx="2">
                    <c:v>Ciências Naturais ou Exatas</c:v>
                  </c:pt>
                  <c:pt idx="4">
                    <c:v>Engenharia e Tecnologias</c:v>
                  </c:pt>
                  <c:pt idx="6">
                    <c:v>Humanidades, C. Sociais ou Jurídico-Económicas</c:v>
                  </c:pt>
                  <c:pt idx="8">
                    <c:v>Arquitetura e Artes</c:v>
                  </c:pt>
                </c:lvl>
              </c:multiLvlStrCache>
            </c:multiLvlStrRef>
          </c:cat>
          <c:val>
            <c:numRef>
              <c:f>Folha17!$C$2:$C$11</c:f>
              <c:numCache>
                <c:formatCode>0.00%</c:formatCode>
                <c:ptCount val="10"/>
                <c:pt idx="0">
                  <c:v>0.11600000000000002</c:v>
                </c:pt>
                <c:pt idx="1">
                  <c:v>6.1000000000000013E-2</c:v>
                </c:pt>
                <c:pt idx="2">
                  <c:v>7.6999999999999999E-2</c:v>
                </c:pt>
                <c:pt idx="3">
                  <c:v>3.7999999999999999E-2</c:v>
                </c:pt>
                <c:pt idx="4">
                  <c:v>0.21500000000000019</c:v>
                </c:pt>
                <c:pt idx="5">
                  <c:v>8.2000000000000003E-2</c:v>
                </c:pt>
                <c:pt idx="6">
                  <c:v>0.26400000000000001</c:v>
                </c:pt>
                <c:pt idx="7">
                  <c:v>0.1230000000000001</c:v>
                </c:pt>
                <c:pt idx="8">
                  <c:v>1.7999999999999999E-2</c:v>
                </c:pt>
                <c:pt idx="9">
                  <c:v>6.0000000000000071E-3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063552"/>
        <c:axId val="169065088"/>
        <c:axId val="0"/>
      </c:bar3DChart>
      <c:catAx>
        <c:axId val="169063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9065088"/>
        <c:crosses val="autoZero"/>
        <c:auto val="1"/>
        <c:lblAlgn val="ctr"/>
        <c:lblOffset val="100"/>
        <c:noMultiLvlLbl val="0"/>
      </c:catAx>
      <c:valAx>
        <c:axId val="1690650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90635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23. Relação entre Área de Estudos e Possibilidade de Emigrar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84513612914372"/>
          <c:y val="0.2171407574053244"/>
          <c:w val="0.84249781277340385"/>
          <c:h val="0.4123206474190728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Folha30!$C$1</c:f>
              <c:strCache>
                <c:ptCount val="1"/>
                <c:pt idx="0">
                  <c:v>% qt. ao total de respostas no segmento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160899973438217E-3"/>
                  <c:y val="-0.176949819817711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80449986719226E-3"/>
                  <c:y val="-0.109708888286980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556314990703495E-2"/>
                  <c:y val="-0.184027812610419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032179994687645E-2"/>
                  <c:y val="-0.120325877476043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540224993359605E-2"/>
                  <c:y val="-0.19464480179948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0160899973438443E-3"/>
                  <c:y val="-9.9091899097918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032179994687689E-2"/>
                  <c:y val="-0.19818379819583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032179994687598E-2"/>
                  <c:y val="-0.109708888286980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032179994687689E-2"/>
                  <c:y val="-0.20172279459219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5048269992031526E-2"/>
                  <c:y val="-9.5552902701564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Folha30!$A$2:$B$11</c:f>
              <c:multiLvlStrCache>
                <c:ptCount val="10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  <c:pt idx="4">
                    <c:v>Sim</c:v>
                  </c:pt>
                  <c:pt idx="5">
                    <c:v>Não</c:v>
                  </c:pt>
                  <c:pt idx="6">
                    <c:v>Sim</c:v>
                  </c:pt>
                  <c:pt idx="7">
                    <c:v>Não</c:v>
                  </c:pt>
                  <c:pt idx="8">
                    <c:v>Sim</c:v>
                  </c:pt>
                  <c:pt idx="9">
                    <c:v>Não</c:v>
                  </c:pt>
                </c:lvl>
                <c:lvl>
                  <c:pt idx="0">
                    <c:v>Ciências da Saúde</c:v>
                  </c:pt>
                  <c:pt idx="2">
                    <c:v>Ciências Naturais ou Exatas</c:v>
                  </c:pt>
                  <c:pt idx="4">
                    <c:v>Engenharia e Tecnologias</c:v>
                  </c:pt>
                  <c:pt idx="6">
                    <c:v>Humanidades, C. Sociais ou Jurídico-Económicas</c:v>
                  </c:pt>
                  <c:pt idx="8">
                    <c:v>Arquitetura e Artes</c:v>
                  </c:pt>
                </c:lvl>
              </c:multiLvlStrCache>
            </c:multiLvlStrRef>
          </c:cat>
          <c:val>
            <c:numRef>
              <c:f>Folha30!$C$2:$C$11</c:f>
              <c:numCache>
                <c:formatCode>0.0%</c:formatCode>
                <c:ptCount val="10"/>
                <c:pt idx="0">
                  <c:v>0.65483870967741964</c:v>
                </c:pt>
                <c:pt idx="1">
                  <c:v>0.3451612903225808</c:v>
                </c:pt>
                <c:pt idx="2">
                  <c:v>0.66831683168316891</c:v>
                </c:pt>
                <c:pt idx="3">
                  <c:v>0.33168316831683192</c:v>
                </c:pt>
                <c:pt idx="4">
                  <c:v>0.72500000000000031</c:v>
                </c:pt>
                <c:pt idx="5">
                  <c:v>0.27500000000000002</c:v>
                </c:pt>
                <c:pt idx="6">
                  <c:v>0.6828908554572275</c:v>
                </c:pt>
                <c:pt idx="7">
                  <c:v>0.31710914454277284</c:v>
                </c:pt>
                <c:pt idx="8">
                  <c:v>0.75609756097560976</c:v>
                </c:pt>
                <c:pt idx="9">
                  <c:v>0.24390243902439043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69085952"/>
        <c:axId val="169116416"/>
        <c:axId val="0"/>
      </c:bar3DChart>
      <c:catAx>
        <c:axId val="1690859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pt-PT"/>
          </a:p>
        </c:txPr>
        <c:crossAx val="169116416"/>
        <c:crosses val="autoZero"/>
        <c:auto val="1"/>
        <c:lblAlgn val="ctr"/>
        <c:lblOffset val="100"/>
        <c:noMultiLvlLbl val="0"/>
      </c:catAx>
      <c:valAx>
        <c:axId val="169116416"/>
        <c:scaling>
          <c:orientation val="minMax"/>
        </c:scaling>
        <c:delete val="0"/>
        <c:axPos val="l"/>
        <c:majorGridlines/>
        <c:numFmt formatCode="0.00%" sourceLinked="0"/>
        <c:majorTickMark val="none"/>
        <c:minorTickMark val="none"/>
        <c:tickLblPos val="nextTo"/>
        <c:spPr>
          <a:ln w="9525">
            <a:noFill/>
          </a:ln>
        </c:spPr>
        <c:crossAx val="1690859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135087502776886"/>
          <c:y val="0.91484958610942879"/>
          <c:w val="0.5423767373868037"/>
          <c:h val="8.2318981258114321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24. Relação entre Média (até ao momento) e a Realização de Programas de Mobilidade Internacional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Folha7!$C$1</c:f>
              <c:strCache>
                <c:ptCount val="1"/>
                <c:pt idx="0">
                  <c:v>% qt. ao total de respostas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Folha7!$A$2:$B$25</c:f>
              <c:multiLvlStrCache>
                <c:ptCount val="24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  <c:pt idx="4">
                    <c:v>Sim</c:v>
                  </c:pt>
                  <c:pt idx="5">
                    <c:v>Não</c:v>
                  </c:pt>
                  <c:pt idx="6">
                    <c:v>Sim</c:v>
                  </c:pt>
                  <c:pt idx="7">
                    <c:v>Não</c:v>
                  </c:pt>
                  <c:pt idx="8">
                    <c:v>Sim</c:v>
                  </c:pt>
                  <c:pt idx="9">
                    <c:v>Não</c:v>
                  </c:pt>
                  <c:pt idx="10">
                    <c:v>Sim</c:v>
                  </c:pt>
                  <c:pt idx="11">
                    <c:v>Não</c:v>
                  </c:pt>
                  <c:pt idx="12">
                    <c:v>Sim</c:v>
                  </c:pt>
                  <c:pt idx="13">
                    <c:v>Não</c:v>
                  </c:pt>
                  <c:pt idx="14">
                    <c:v>Sim</c:v>
                  </c:pt>
                  <c:pt idx="15">
                    <c:v>Não</c:v>
                  </c:pt>
                  <c:pt idx="16">
                    <c:v>Sim</c:v>
                  </c:pt>
                  <c:pt idx="17">
                    <c:v>Não</c:v>
                  </c:pt>
                  <c:pt idx="18">
                    <c:v>Sim</c:v>
                  </c:pt>
                  <c:pt idx="19">
                    <c:v>Não</c:v>
                  </c:pt>
                  <c:pt idx="20">
                    <c:v>Sim</c:v>
                  </c:pt>
                  <c:pt idx="21">
                    <c:v>Não</c:v>
                  </c:pt>
                  <c:pt idx="22">
                    <c:v>Sim</c:v>
                  </c:pt>
                  <c:pt idx="23">
                    <c:v>Não</c:v>
                  </c:pt>
                </c:lvl>
                <c:lvl>
                  <c:pt idx="0">
                    <c:v>20</c:v>
                  </c:pt>
                  <c:pt idx="2">
                    <c:v>19</c:v>
                  </c:pt>
                  <c:pt idx="4">
                    <c:v>18</c:v>
                  </c:pt>
                  <c:pt idx="6">
                    <c:v>17</c:v>
                  </c:pt>
                  <c:pt idx="8">
                    <c:v>16</c:v>
                  </c:pt>
                  <c:pt idx="10">
                    <c:v>15</c:v>
                  </c:pt>
                  <c:pt idx="12">
                    <c:v>14</c:v>
                  </c:pt>
                  <c:pt idx="14">
                    <c:v>13</c:v>
                  </c:pt>
                  <c:pt idx="16">
                    <c:v>12</c:v>
                  </c:pt>
                  <c:pt idx="18">
                    <c:v>11</c:v>
                  </c:pt>
                  <c:pt idx="20">
                    <c:v>10</c:v>
                  </c:pt>
                  <c:pt idx="22">
                    <c:v>NS/NR/RI</c:v>
                  </c:pt>
                </c:lvl>
              </c:multiLvlStrCache>
            </c:multiLvlStrRef>
          </c:cat>
          <c:val>
            <c:numRef>
              <c:f>Folha7!$C$2:$C$25</c:f>
              <c:numCache>
                <c:formatCode>0.00%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2.0000000000000031E-3</c:v>
                </c:pt>
                <c:pt idx="3">
                  <c:v>6.0000000000000071E-3</c:v>
                </c:pt>
                <c:pt idx="4">
                  <c:v>5.0000000000000062E-3</c:v>
                </c:pt>
                <c:pt idx="5">
                  <c:v>1.4999999999999998E-2</c:v>
                </c:pt>
                <c:pt idx="6">
                  <c:v>6.0000000000000071E-3</c:v>
                </c:pt>
                <c:pt idx="7">
                  <c:v>2.9000000000000001E-2</c:v>
                </c:pt>
                <c:pt idx="8">
                  <c:v>1.4999999999999998E-2</c:v>
                </c:pt>
                <c:pt idx="9">
                  <c:v>7.8000000000000014E-2</c:v>
                </c:pt>
                <c:pt idx="10">
                  <c:v>1.6000000000000021E-2</c:v>
                </c:pt>
                <c:pt idx="11">
                  <c:v>9.8000000000000156E-2</c:v>
                </c:pt>
                <c:pt idx="12">
                  <c:v>3.4000000000000002E-2</c:v>
                </c:pt>
                <c:pt idx="13">
                  <c:v>0.20900000000000019</c:v>
                </c:pt>
                <c:pt idx="14">
                  <c:v>3.7999999999999999E-2</c:v>
                </c:pt>
                <c:pt idx="15">
                  <c:v>0.21100000000000019</c:v>
                </c:pt>
                <c:pt idx="16">
                  <c:v>1.4999999999999998E-2</c:v>
                </c:pt>
                <c:pt idx="17">
                  <c:v>0.13900000000000001</c:v>
                </c:pt>
                <c:pt idx="18">
                  <c:v>2.0000000000000031E-3</c:v>
                </c:pt>
                <c:pt idx="19">
                  <c:v>4.9000000000000064E-2</c:v>
                </c:pt>
                <c:pt idx="20">
                  <c:v>0</c:v>
                </c:pt>
                <c:pt idx="21">
                  <c:v>1.2E-2</c:v>
                </c:pt>
                <c:pt idx="22">
                  <c:v>2.0000000000000031E-3</c:v>
                </c:pt>
                <c:pt idx="23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69138048"/>
        <c:axId val="169139584"/>
        <c:axId val="0"/>
      </c:bar3DChart>
      <c:catAx>
        <c:axId val="1691380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pt-PT"/>
          </a:p>
        </c:txPr>
        <c:crossAx val="169139584"/>
        <c:crosses val="autoZero"/>
        <c:auto val="1"/>
        <c:lblAlgn val="ctr"/>
        <c:lblOffset val="100"/>
        <c:noMultiLvlLbl val="0"/>
      </c:catAx>
      <c:valAx>
        <c:axId val="16913958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000"/>
            </a:pPr>
            <a:endParaRPr lang="pt-PT"/>
          </a:p>
        </c:txPr>
        <c:crossAx val="1691380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Gráfico 25. Relação entre Média (até ao momento) e Realização de Programas de Mobilidade Internacional
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37480730392705"/>
          <c:y val="0.25962376020876055"/>
          <c:w val="0.88038866929540649"/>
          <c:h val="0.478357749735784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Folha31!$C$1</c:f>
              <c:strCache>
                <c:ptCount val="1"/>
                <c:pt idx="0">
                  <c:v>% qt. ao total de respostas no segmento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7646349296912625E-2"/>
                  <c:y val="-9.5923256427874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640434153705651E-2"/>
                  <c:y val="-0.19295465604100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157682267111017E-2"/>
                  <c:y val="-8.9528265354647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031171212395724E-3"/>
                  <c:y val="-0.199349647114228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014958097479094E-3"/>
                  <c:y val="-7.0343752040832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548501972512149E-3"/>
                  <c:y val="-0.209495860387295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0788411335554911E-3"/>
                  <c:y val="-6.3948760967605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7502713141561069E-3"/>
                  <c:y val="-0.212693355923909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4707285451211157E-2"/>
                  <c:y val="-5.7553999847311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7037037037036401E-3"/>
                  <c:y val="-0.22062350119904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215768226711098E-2"/>
                  <c:y val="-5.435650431069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5496031841001766E-3"/>
                  <c:y val="-0.221177469395564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5.5555555555556226E-3"/>
                  <c:y val="-6.394884092725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6.2532288857595911E-3"/>
                  <c:y val="-0.208941903771136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4.0525607557037359E-3"/>
                  <c:y val="-4.5595297554496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"/>
                  <c:y val="-0.243005595523581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3.7037037037037069E-3"/>
                  <c:y val="-5.1159072741806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"/>
                  <c:y val="-0.25579536370903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-4.7961630695443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"/>
                  <c:y val="-0.258992805755395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1.6210243022814642E-2"/>
                  <c:y val="-6.3948760967605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0"/>
                  <c:y val="-0.239808153477218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Folha31!$A$2:$B$25</c:f>
              <c:multiLvlStrCache>
                <c:ptCount val="24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  <c:pt idx="4">
                    <c:v>Sim</c:v>
                  </c:pt>
                  <c:pt idx="5">
                    <c:v>Não</c:v>
                  </c:pt>
                  <c:pt idx="6">
                    <c:v>Sim</c:v>
                  </c:pt>
                  <c:pt idx="7">
                    <c:v>Não</c:v>
                  </c:pt>
                  <c:pt idx="8">
                    <c:v>Sim</c:v>
                  </c:pt>
                  <c:pt idx="9">
                    <c:v>Não</c:v>
                  </c:pt>
                  <c:pt idx="10">
                    <c:v>Sim</c:v>
                  </c:pt>
                  <c:pt idx="11">
                    <c:v>Não</c:v>
                  </c:pt>
                  <c:pt idx="12">
                    <c:v>Sim</c:v>
                  </c:pt>
                  <c:pt idx="13">
                    <c:v>Não</c:v>
                  </c:pt>
                  <c:pt idx="14">
                    <c:v>Sim</c:v>
                  </c:pt>
                  <c:pt idx="15">
                    <c:v>Não</c:v>
                  </c:pt>
                  <c:pt idx="16">
                    <c:v>Sim</c:v>
                  </c:pt>
                  <c:pt idx="17">
                    <c:v>Não</c:v>
                  </c:pt>
                  <c:pt idx="18">
                    <c:v>Sim</c:v>
                  </c:pt>
                  <c:pt idx="19">
                    <c:v>Não</c:v>
                  </c:pt>
                  <c:pt idx="20">
                    <c:v>Sim</c:v>
                  </c:pt>
                  <c:pt idx="21">
                    <c:v>Não</c:v>
                  </c:pt>
                  <c:pt idx="22">
                    <c:v>Sim</c:v>
                  </c:pt>
                  <c:pt idx="23">
                    <c:v>Não</c:v>
                  </c:pt>
                </c:lvl>
                <c:lvl>
                  <c:pt idx="0">
                    <c:v>20</c:v>
                  </c:pt>
                  <c:pt idx="2">
                    <c:v>19</c:v>
                  </c:pt>
                  <c:pt idx="4">
                    <c:v>18</c:v>
                  </c:pt>
                  <c:pt idx="6">
                    <c:v>17</c:v>
                  </c:pt>
                  <c:pt idx="8">
                    <c:v>16</c:v>
                  </c:pt>
                  <c:pt idx="10">
                    <c:v>15</c:v>
                  </c:pt>
                  <c:pt idx="12">
                    <c:v>14</c:v>
                  </c:pt>
                  <c:pt idx="14">
                    <c:v>13</c:v>
                  </c:pt>
                  <c:pt idx="16">
                    <c:v>12</c:v>
                  </c:pt>
                  <c:pt idx="18">
                    <c:v>11</c:v>
                  </c:pt>
                  <c:pt idx="20">
                    <c:v>10</c:v>
                  </c:pt>
                  <c:pt idx="22">
                    <c:v>NS/NR/RI</c:v>
                  </c:pt>
                </c:lvl>
              </c:multiLvlStrCache>
            </c:multiLvlStrRef>
          </c:cat>
          <c:val>
            <c:numRef>
              <c:f>Folha31!$C$2:$C$25</c:f>
              <c:numCache>
                <c:formatCode>General</c:formatCode>
                <c:ptCount val="24"/>
                <c:pt idx="2" formatCode="0.0%">
                  <c:v>0.28571428571428581</c:v>
                </c:pt>
                <c:pt idx="3" formatCode="0.0%">
                  <c:v>0.71428571428571441</c:v>
                </c:pt>
                <c:pt idx="4" formatCode="0.0%">
                  <c:v>0.25714285714285717</c:v>
                </c:pt>
                <c:pt idx="5" formatCode="0.0%">
                  <c:v>0.74285714285714288</c:v>
                </c:pt>
                <c:pt idx="6" formatCode="0.0%">
                  <c:v>0.18032786885245905</c:v>
                </c:pt>
                <c:pt idx="7" formatCode="0.0%">
                  <c:v>0.81967213114754101</c:v>
                </c:pt>
                <c:pt idx="8" formatCode="0.0%">
                  <c:v>0.16564417177914109</c:v>
                </c:pt>
                <c:pt idx="9" formatCode="0.0%">
                  <c:v>0.83435582822085885</c:v>
                </c:pt>
                <c:pt idx="10" formatCode="0.0%">
                  <c:v>0.14070351758793972</c:v>
                </c:pt>
                <c:pt idx="11" formatCode="0.0%">
                  <c:v>0.85929648241206025</c:v>
                </c:pt>
                <c:pt idx="12" formatCode="0.0%">
                  <c:v>0.13882352941176468</c:v>
                </c:pt>
                <c:pt idx="13" formatCode="0.0%">
                  <c:v>0.86117647058823543</c:v>
                </c:pt>
                <c:pt idx="14" formatCode="0.0%">
                  <c:v>0.1536697247706422</c:v>
                </c:pt>
                <c:pt idx="15" formatCode="0.0%">
                  <c:v>0.84633027522935778</c:v>
                </c:pt>
                <c:pt idx="16" formatCode="0.0%">
                  <c:v>9.629629629629631E-2</c:v>
                </c:pt>
                <c:pt idx="17" formatCode="0.0%">
                  <c:v>0.90370370370370368</c:v>
                </c:pt>
                <c:pt idx="18" formatCode="0.0%">
                  <c:v>3.4090909090909088E-2</c:v>
                </c:pt>
                <c:pt idx="19" formatCode="0.0%">
                  <c:v>0.96590909090909105</c:v>
                </c:pt>
                <c:pt idx="20" formatCode="0.0%">
                  <c:v>0</c:v>
                </c:pt>
                <c:pt idx="21" formatCode="0.0%">
                  <c:v>1</c:v>
                </c:pt>
                <c:pt idx="22" formatCode="0.0%">
                  <c:v>0.10256410256410257</c:v>
                </c:pt>
                <c:pt idx="23" formatCode="0.0%">
                  <c:v>0.89743589743589769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69164800"/>
        <c:axId val="169166336"/>
        <c:axId val="0"/>
      </c:bar3DChart>
      <c:catAx>
        <c:axId val="169164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9166336"/>
        <c:crosses val="autoZero"/>
        <c:auto val="1"/>
        <c:lblAlgn val="ctr"/>
        <c:lblOffset val="100"/>
        <c:noMultiLvlLbl val="0"/>
      </c:catAx>
      <c:valAx>
        <c:axId val="169166336"/>
        <c:scaling>
          <c:orientation val="minMax"/>
        </c:scaling>
        <c:delete val="0"/>
        <c:axPos val="l"/>
        <c:majorGridlines/>
        <c:numFmt formatCode="0.00%" sourceLinked="0"/>
        <c:majorTickMark val="none"/>
        <c:minorTickMark val="none"/>
        <c:tickLblPos val="nextTo"/>
        <c:spPr>
          <a:ln w="9525">
            <a:noFill/>
          </a:ln>
        </c:spPr>
        <c:crossAx val="169164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716764614188234"/>
          <c:y val="0.94778320773304137"/>
          <c:w val="0.42566470771623527"/>
          <c:h val="5.221679226695880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26. Relação entre Média (até ao momento) e Possibilidade de Emigrar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308834736151288E-2"/>
          <c:y val="0.15023351605487886"/>
          <c:w val="0.87649982493910117"/>
          <c:h val="0.734527090982847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Folha9!$C$1</c:f>
              <c:strCache>
                <c:ptCount val="1"/>
                <c:pt idx="0">
                  <c:v>% qt. ao total de respostas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999414907175185E-2"/>
                  <c:y val="-2.67884394594978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3397808793646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38721030292897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6323261817573843E-3"/>
                  <c:y val="-9.8249462833896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50976824234318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6323261817573843E-3"/>
                  <c:y val="9.8249462833896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9.38721030292897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12646523635147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7.5097682423431811E-3"/>
                  <c:y val="9.8249462833896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9.3872103029289736E-3"/>
                  <c:y val="8.03868527618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9.3872103029289736E-3"/>
                  <c:y val="2.6795617587293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Folha9!$A$2:$B$25</c:f>
              <c:multiLvlStrCache>
                <c:ptCount val="24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  <c:pt idx="4">
                    <c:v>Sim</c:v>
                  </c:pt>
                  <c:pt idx="5">
                    <c:v>Não</c:v>
                  </c:pt>
                  <c:pt idx="6">
                    <c:v>Sim</c:v>
                  </c:pt>
                  <c:pt idx="7">
                    <c:v>Não</c:v>
                  </c:pt>
                  <c:pt idx="8">
                    <c:v>Sim</c:v>
                  </c:pt>
                  <c:pt idx="9">
                    <c:v>Não</c:v>
                  </c:pt>
                  <c:pt idx="10">
                    <c:v>Sim</c:v>
                  </c:pt>
                  <c:pt idx="11">
                    <c:v>Não</c:v>
                  </c:pt>
                  <c:pt idx="12">
                    <c:v>Sim</c:v>
                  </c:pt>
                  <c:pt idx="13">
                    <c:v>Não</c:v>
                  </c:pt>
                  <c:pt idx="14">
                    <c:v>Sim</c:v>
                  </c:pt>
                  <c:pt idx="15">
                    <c:v>Não</c:v>
                  </c:pt>
                  <c:pt idx="16">
                    <c:v>Sim</c:v>
                  </c:pt>
                  <c:pt idx="17">
                    <c:v>Não</c:v>
                  </c:pt>
                  <c:pt idx="18">
                    <c:v>Sim</c:v>
                  </c:pt>
                  <c:pt idx="19">
                    <c:v>Não</c:v>
                  </c:pt>
                  <c:pt idx="20">
                    <c:v>Sim</c:v>
                  </c:pt>
                  <c:pt idx="21">
                    <c:v>Não</c:v>
                  </c:pt>
                  <c:pt idx="22">
                    <c:v>Sim</c:v>
                  </c:pt>
                  <c:pt idx="23">
                    <c:v>Não</c:v>
                  </c:pt>
                </c:lvl>
                <c:lvl>
                  <c:pt idx="0">
                    <c:v>20</c:v>
                  </c:pt>
                  <c:pt idx="2">
                    <c:v>19</c:v>
                  </c:pt>
                  <c:pt idx="4">
                    <c:v>18</c:v>
                  </c:pt>
                  <c:pt idx="6">
                    <c:v>17</c:v>
                  </c:pt>
                  <c:pt idx="8">
                    <c:v>16</c:v>
                  </c:pt>
                  <c:pt idx="10">
                    <c:v>15</c:v>
                  </c:pt>
                  <c:pt idx="12">
                    <c:v>14</c:v>
                  </c:pt>
                  <c:pt idx="14">
                    <c:v>13</c:v>
                  </c:pt>
                  <c:pt idx="16">
                    <c:v>12</c:v>
                  </c:pt>
                  <c:pt idx="18">
                    <c:v>11</c:v>
                  </c:pt>
                  <c:pt idx="20">
                    <c:v>10</c:v>
                  </c:pt>
                  <c:pt idx="22">
                    <c:v>NS/NR/RI</c:v>
                  </c:pt>
                </c:lvl>
              </c:multiLvlStrCache>
            </c:multiLvlStrRef>
          </c:cat>
          <c:val>
            <c:numRef>
              <c:f>Folha9!$C$2:$C$25</c:f>
              <c:numCache>
                <c:formatCode>0.00%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5.0000000000000062E-3</c:v>
                </c:pt>
                <c:pt idx="3">
                  <c:v>3.0000000000000035E-3</c:v>
                </c:pt>
                <c:pt idx="4">
                  <c:v>1.4E-2</c:v>
                </c:pt>
                <c:pt idx="5">
                  <c:v>6.0000000000000071E-3</c:v>
                </c:pt>
                <c:pt idx="6">
                  <c:v>2.1999999999999999E-2</c:v>
                </c:pt>
                <c:pt idx="7">
                  <c:v>1.2999999999999998E-2</c:v>
                </c:pt>
                <c:pt idx="8">
                  <c:v>6.2000000000000034E-2</c:v>
                </c:pt>
                <c:pt idx="9">
                  <c:v>3.1000000000000034E-2</c:v>
                </c:pt>
                <c:pt idx="10">
                  <c:v>7.8000000000000014E-2</c:v>
                </c:pt>
                <c:pt idx="11">
                  <c:v>3.5999999999999997E-2</c:v>
                </c:pt>
                <c:pt idx="12">
                  <c:v>0.17</c:v>
                </c:pt>
                <c:pt idx="13">
                  <c:v>7.3000000000000009E-2</c:v>
                </c:pt>
                <c:pt idx="14">
                  <c:v>0.17900000000000019</c:v>
                </c:pt>
                <c:pt idx="15">
                  <c:v>7.0000000000000021E-2</c:v>
                </c:pt>
                <c:pt idx="16">
                  <c:v>0.10199999999999998</c:v>
                </c:pt>
                <c:pt idx="17">
                  <c:v>5.1999999999999998E-2</c:v>
                </c:pt>
                <c:pt idx="18">
                  <c:v>3.5999999999999997E-2</c:v>
                </c:pt>
                <c:pt idx="19">
                  <c:v>1.4E-2</c:v>
                </c:pt>
                <c:pt idx="20">
                  <c:v>7.0000000000000071E-3</c:v>
                </c:pt>
                <c:pt idx="21">
                  <c:v>5.0000000000000062E-3</c:v>
                </c:pt>
                <c:pt idx="22">
                  <c:v>1.4999999999999998E-2</c:v>
                </c:pt>
                <c:pt idx="23">
                  <c:v>7.0000000000000071E-3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203968"/>
        <c:axId val="188108800"/>
        <c:axId val="0"/>
      </c:bar3DChart>
      <c:catAx>
        <c:axId val="169203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t-PT"/>
          </a:p>
        </c:txPr>
        <c:crossAx val="188108800"/>
        <c:crosses val="autoZero"/>
        <c:auto val="1"/>
        <c:lblAlgn val="ctr"/>
        <c:lblOffset val="100"/>
        <c:noMultiLvlLbl val="0"/>
      </c:catAx>
      <c:valAx>
        <c:axId val="1881088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t-PT"/>
          </a:p>
        </c:txPr>
        <c:crossAx val="1692039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27. Relação entre Média (até ao momento) e Possibilidade de Emigrar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74298029998161E-2"/>
          <c:y val="0.13225728786095362"/>
          <c:w val="0.8953953756427866"/>
          <c:h val="0.6439471964474067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Folha32!$C$1</c:f>
              <c:strCache>
                <c:ptCount val="1"/>
                <c:pt idx="0">
                  <c:v>% qt. ao total de respostas no segmento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2308022308022309E-2"/>
                  <c:y val="-0.268343815513626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282097016905147E-2"/>
                  <c:y val="-0.159329392645835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800085800085794E-3"/>
                  <c:y val="-0.282320055904962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5660781745934304E-3"/>
                  <c:y val="-0.150943317357866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32003432003432E-3"/>
                  <c:y val="-0.259958071278826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7051013277428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27672955974842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432003432003432E-3"/>
                  <c:y val="-0.159329140461216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287910552061495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8.5800085800085794E-3"/>
                  <c:y val="-0.150943396226415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1480051480052086E-3"/>
                  <c:y val="-0.29070580013976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0295875177764941E-2"/>
                  <c:y val="-0.148148148148148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-0.293501048218029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3.432003432003432E-3"/>
                  <c:y val="-0.13976240391334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5.1480051480051478E-3"/>
                  <c:y val="-0.276729559748427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3.432003432003432E-3"/>
                  <c:y val="-0.153738644304682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3.432003432003432E-3"/>
                  <c:y val="-0.293501048218029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5.1480051480051478E-3"/>
                  <c:y val="-0.134171907756813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-0.25995807127882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5.1480051480051478E-3"/>
                  <c:y val="-0.167714884696016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"/>
                  <c:y val="-0.29070580013976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1.0296010296010301E-2"/>
                  <c:y val="-0.148148148148148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Folha32!$A$2:$B$25</c:f>
              <c:multiLvlStrCache>
                <c:ptCount val="24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  <c:pt idx="4">
                    <c:v>Sim</c:v>
                  </c:pt>
                  <c:pt idx="5">
                    <c:v>Não</c:v>
                  </c:pt>
                  <c:pt idx="6">
                    <c:v>Sim</c:v>
                  </c:pt>
                  <c:pt idx="7">
                    <c:v>Não</c:v>
                  </c:pt>
                  <c:pt idx="8">
                    <c:v>Sim</c:v>
                  </c:pt>
                  <c:pt idx="9">
                    <c:v>Não</c:v>
                  </c:pt>
                  <c:pt idx="10">
                    <c:v>Sim</c:v>
                  </c:pt>
                  <c:pt idx="11">
                    <c:v>Não</c:v>
                  </c:pt>
                  <c:pt idx="12">
                    <c:v>Sim</c:v>
                  </c:pt>
                  <c:pt idx="13">
                    <c:v>Não</c:v>
                  </c:pt>
                  <c:pt idx="14">
                    <c:v>Sim</c:v>
                  </c:pt>
                  <c:pt idx="15">
                    <c:v>Não</c:v>
                  </c:pt>
                  <c:pt idx="16">
                    <c:v>Sim</c:v>
                  </c:pt>
                  <c:pt idx="17">
                    <c:v>Não</c:v>
                  </c:pt>
                  <c:pt idx="18">
                    <c:v>Sim</c:v>
                  </c:pt>
                  <c:pt idx="19">
                    <c:v>Não</c:v>
                  </c:pt>
                  <c:pt idx="20">
                    <c:v>Sim</c:v>
                  </c:pt>
                  <c:pt idx="21">
                    <c:v>Não</c:v>
                  </c:pt>
                  <c:pt idx="22">
                    <c:v>Sim</c:v>
                  </c:pt>
                  <c:pt idx="23">
                    <c:v>Não</c:v>
                  </c:pt>
                </c:lvl>
                <c:lvl>
                  <c:pt idx="0">
                    <c:v>20</c:v>
                  </c:pt>
                  <c:pt idx="2">
                    <c:v>19</c:v>
                  </c:pt>
                  <c:pt idx="4">
                    <c:v>18</c:v>
                  </c:pt>
                  <c:pt idx="6">
                    <c:v>17</c:v>
                  </c:pt>
                  <c:pt idx="8">
                    <c:v>16</c:v>
                  </c:pt>
                  <c:pt idx="10">
                    <c:v>15</c:v>
                  </c:pt>
                  <c:pt idx="12">
                    <c:v>14</c:v>
                  </c:pt>
                  <c:pt idx="14">
                    <c:v>13</c:v>
                  </c:pt>
                  <c:pt idx="16">
                    <c:v>12</c:v>
                  </c:pt>
                  <c:pt idx="18">
                    <c:v>11</c:v>
                  </c:pt>
                  <c:pt idx="20">
                    <c:v>10</c:v>
                  </c:pt>
                  <c:pt idx="22">
                    <c:v>NS/NR/RI</c:v>
                  </c:pt>
                </c:lvl>
              </c:multiLvlStrCache>
            </c:multiLvlStrRef>
          </c:cat>
          <c:val>
            <c:numRef>
              <c:f>Folha32!$C$2:$C$25</c:f>
              <c:numCache>
                <c:formatCode>General</c:formatCode>
                <c:ptCount val="24"/>
                <c:pt idx="2" formatCode="0.0%">
                  <c:v>0.6428571428571429</c:v>
                </c:pt>
                <c:pt idx="3" formatCode="0.0%">
                  <c:v>0.35714285714285726</c:v>
                </c:pt>
                <c:pt idx="4" formatCode="0.0%">
                  <c:v>0.68571428571428561</c:v>
                </c:pt>
                <c:pt idx="5" formatCode="0.0%">
                  <c:v>0.31428571428571433</c:v>
                </c:pt>
                <c:pt idx="6" formatCode="0.0%">
                  <c:v>0.6229508196721314</c:v>
                </c:pt>
                <c:pt idx="7" formatCode="0.0%">
                  <c:v>0.37704918032786894</c:v>
                </c:pt>
                <c:pt idx="8" formatCode="0.0%">
                  <c:v>0.66871165644171804</c:v>
                </c:pt>
                <c:pt idx="9" formatCode="0.0%">
                  <c:v>0.33128834355828224</c:v>
                </c:pt>
                <c:pt idx="10" formatCode="0.0%">
                  <c:v>0.68341708542713542</c:v>
                </c:pt>
                <c:pt idx="11" formatCode="0.0%">
                  <c:v>0.31658291457286442</c:v>
                </c:pt>
                <c:pt idx="12" formatCode="0.0%">
                  <c:v>0.7011764705882354</c:v>
                </c:pt>
                <c:pt idx="13" formatCode="0.0%">
                  <c:v>0.29882352941176477</c:v>
                </c:pt>
                <c:pt idx="14" formatCode="0.0%">
                  <c:v>0.71788990825688082</c:v>
                </c:pt>
                <c:pt idx="15" formatCode="0.0%">
                  <c:v>0.2821100917431193</c:v>
                </c:pt>
                <c:pt idx="16" formatCode="0.0%">
                  <c:v>0.66296296296296287</c:v>
                </c:pt>
                <c:pt idx="17" formatCode="0.0%">
                  <c:v>0.33703703703703702</c:v>
                </c:pt>
                <c:pt idx="18" formatCode="0.0%">
                  <c:v>0.71590909090909105</c:v>
                </c:pt>
                <c:pt idx="19" formatCode="0.0%">
                  <c:v>0.28409090909090917</c:v>
                </c:pt>
                <c:pt idx="20" formatCode="0.0%">
                  <c:v>0.61904761904761918</c:v>
                </c:pt>
                <c:pt idx="21" formatCode="0.0%">
                  <c:v>0.38095238095238104</c:v>
                </c:pt>
                <c:pt idx="22" formatCode="0.0%">
                  <c:v>0.6923076923076924</c:v>
                </c:pt>
                <c:pt idx="23" formatCode="0.0%">
                  <c:v>0.30769230769230776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88133760"/>
        <c:axId val="188135296"/>
        <c:axId val="0"/>
      </c:bar3DChart>
      <c:catAx>
        <c:axId val="188133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8135296"/>
        <c:crosses val="autoZero"/>
        <c:auto val="1"/>
        <c:lblAlgn val="ctr"/>
        <c:lblOffset val="100"/>
        <c:noMultiLvlLbl val="0"/>
      </c:catAx>
      <c:valAx>
        <c:axId val="188135296"/>
        <c:scaling>
          <c:orientation val="minMax"/>
        </c:scaling>
        <c:delete val="0"/>
        <c:axPos val="l"/>
        <c:majorGridlines/>
        <c:numFmt formatCode="0.00%" sourceLinked="0"/>
        <c:majorTickMark val="none"/>
        <c:minorTickMark val="none"/>
        <c:tickLblPos val="nextTo"/>
        <c:spPr>
          <a:ln w="9525">
            <a:noFill/>
          </a:ln>
        </c:spPr>
        <c:crossAx val="188133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300791091715006"/>
          <c:y val="0.95771919745222323"/>
          <c:w val="0.41007980367180824"/>
          <c:h val="3.910420961844194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28. Relação entre ser Estudante Deslocado e Realização de Programas de Mobilidade Internacional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Folha11!$C$1</c:f>
              <c:strCache>
                <c:ptCount val="1"/>
                <c:pt idx="0">
                  <c:v>% qt. ao total de respostas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Folha11!$A$2:$B$5</c:f>
              <c:multiLvlStrCache>
                <c:ptCount val="4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</c:lvl>
                <c:lvl>
                  <c:pt idx="0">
                    <c:v>Estudante Deslocado</c:v>
                  </c:pt>
                  <c:pt idx="2">
                    <c:v>Estudante Não-Deslocado</c:v>
                  </c:pt>
                </c:lvl>
              </c:multiLvlStrCache>
            </c:multiLvlStrRef>
          </c:cat>
          <c:val>
            <c:numRef>
              <c:f>Folha11!$C$2:$C$5</c:f>
              <c:numCache>
                <c:formatCode>0.00%</c:formatCode>
                <c:ptCount val="4"/>
                <c:pt idx="0">
                  <c:v>9.0000000000000024E-2</c:v>
                </c:pt>
                <c:pt idx="1">
                  <c:v>0.55200000000000005</c:v>
                </c:pt>
                <c:pt idx="2">
                  <c:v>4.5999999999999999E-2</c:v>
                </c:pt>
                <c:pt idx="3">
                  <c:v>0.31200000000000039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176640"/>
        <c:axId val="188182528"/>
        <c:axId val="0"/>
      </c:bar3DChart>
      <c:catAx>
        <c:axId val="18817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8182528"/>
        <c:crosses val="autoZero"/>
        <c:auto val="1"/>
        <c:lblAlgn val="ctr"/>
        <c:lblOffset val="100"/>
        <c:noMultiLvlLbl val="0"/>
      </c:catAx>
      <c:valAx>
        <c:axId val="1881825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81766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29. Relação entre ser Estudante Deslocado e Realização de Programas de Mobilidade Profissional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107174716452166E-2"/>
          <c:y val="0.25326152993874068"/>
          <c:w val="0.85658092738407732"/>
          <c:h val="0.4112551035287254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Folha33!$C$1</c:f>
              <c:strCache>
                <c:ptCount val="1"/>
                <c:pt idx="0">
                  <c:v>% qt. ao total de respostas no segmento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70933180330554E-2"/>
                  <c:y val="-0.20892920815791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139554535537036E-3"/>
                  <c:y val="-0.140905745036735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139554535537036E-3"/>
                  <c:y val="-0.204070389363548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827910907107324E-2"/>
                  <c:y val="-0.131188107447995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Folha33!$A$2:$B$5</c:f>
              <c:multiLvlStrCache>
                <c:ptCount val="4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</c:lvl>
                <c:lvl>
                  <c:pt idx="0">
                    <c:v>Deslocado</c:v>
                  </c:pt>
                  <c:pt idx="2">
                    <c:v>Não-Deslocado</c:v>
                  </c:pt>
                </c:lvl>
              </c:multiLvlStrCache>
            </c:multiLvlStrRef>
          </c:cat>
          <c:val>
            <c:numRef>
              <c:f>Folha33!$C$2:$C$5</c:f>
              <c:numCache>
                <c:formatCode>0.0%</c:formatCode>
                <c:ptCount val="4"/>
                <c:pt idx="0">
                  <c:v>0.68238434163701056</c:v>
                </c:pt>
                <c:pt idx="1">
                  <c:v>0.31761565836298938</c:v>
                </c:pt>
                <c:pt idx="2">
                  <c:v>0.70494417862838976</c:v>
                </c:pt>
                <c:pt idx="3">
                  <c:v>0.29505582137161102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88215680"/>
        <c:axId val="188217216"/>
        <c:axId val="0"/>
      </c:bar3DChart>
      <c:catAx>
        <c:axId val="1882156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pt-PT"/>
          </a:p>
        </c:txPr>
        <c:crossAx val="188217216"/>
        <c:crosses val="autoZero"/>
        <c:auto val="1"/>
        <c:lblAlgn val="ctr"/>
        <c:lblOffset val="100"/>
        <c:noMultiLvlLbl val="0"/>
      </c:catAx>
      <c:valAx>
        <c:axId val="188217216"/>
        <c:scaling>
          <c:orientation val="minMax"/>
        </c:scaling>
        <c:delete val="0"/>
        <c:axPos val="l"/>
        <c:majorGridlines/>
        <c:numFmt formatCode="0.00%" sourceLinked="0"/>
        <c:majorTickMark val="none"/>
        <c:minorTickMark val="none"/>
        <c:tickLblPos val="nextTo"/>
        <c:spPr>
          <a:ln w="9525">
            <a:noFill/>
          </a:ln>
        </c:spPr>
        <c:crossAx val="188215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955927384076994"/>
          <c:y val="0.93017169728783933"/>
          <c:w val="0.58088145231846056"/>
          <c:h val="6.9828302712160978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3. Grau de Frequência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Folha20!$B$10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6856732114870558E-3"/>
                  <c:y val="-1.2100454735724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Folha20!$A$11:$A$14</c:f>
              <c:strCache>
                <c:ptCount val="4"/>
                <c:pt idx="0">
                  <c:v>1º ciclo (Licenciatura)</c:v>
                </c:pt>
                <c:pt idx="1">
                  <c:v>2º ciclo (Mestrado)</c:v>
                </c:pt>
                <c:pt idx="2">
                  <c:v>1º + 2º ciclo (Mestrado Integrado)</c:v>
                </c:pt>
                <c:pt idx="3">
                  <c:v>3º ciclo (Doutoramento)</c:v>
                </c:pt>
              </c:strCache>
            </c:strRef>
          </c:cat>
          <c:val>
            <c:numRef>
              <c:f>Folha20!$B$11:$B$14</c:f>
              <c:numCache>
                <c:formatCode>0.00%</c:formatCode>
                <c:ptCount val="4"/>
                <c:pt idx="0">
                  <c:v>0.68400000000000005</c:v>
                </c:pt>
                <c:pt idx="1">
                  <c:v>0.222</c:v>
                </c:pt>
                <c:pt idx="2">
                  <c:v>6.5000000000000002E-2</c:v>
                </c:pt>
                <c:pt idx="3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65120"/>
        <c:axId val="165766656"/>
        <c:axId val="0"/>
      </c:bar3DChart>
      <c:catAx>
        <c:axId val="165765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5766656"/>
        <c:crosses val="autoZero"/>
        <c:auto val="1"/>
        <c:lblAlgn val="ctr"/>
        <c:lblOffset val="100"/>
        <c:noMultiLvlLbl val="0"/>
      </c:catAx>
      <c:valAx>
        <c:axId val="1657666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5765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30. Relação entre ser Estudante Deslocado e Possibilidade de Emigrar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Folha13!$C$1</c:f>
              <c:strCache>
                <c:ptCount val="1"/>
                <c:pt idx="0">
                  <c:v>% qt. ao total de respostas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Folha13!$A$2:$B$5</c:f>
              <c:multiLvlStrCache>
                <c:ptCount val="4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</c:lvl>
                <c:lvl>
                  <c:pt idx="0">
                    <c:v>Estudante Deslocado</c:v>
                  </c:pt>
                  <c:pt idx="2">
                    <c:v>Estudante Não-Deslocado</c:v>
                  </c:pt>
                </c:lvl>
              </c:multiLvlStrCache>
            </c:multiLvlStrRef>
          </c:cat>
          <c:val>
            <c:numRef>
              <c:f>Folha13!$C$2:$C$5</c:f>
              <c:numCache>
                <c:formatCode>0.00%</c:formatCode>
                <c:ptCount val="4"/>
                <c:pt idx="0">
                  <c:v>0.43800000000000039</c:v>
                </c:pt>
                <c:pt idx="1">
                  <c:v>0.20400000000000001</c:v>
                </c:pt>
                <c:pt idx="2">
                  <c:v>0.252</c:v>
                </c:pt>
                <c:pt idx="3">
                  <c:v>0.10600000000000002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316288"/>
        <c:axId val="188318080"/>
        <c:axId val="0"/>
      </c:bar3DChart>
      <c:catAx>
        <c:axId val="18831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8318080"/>
        <c:crosses val="autoZero"/>
        <c:auto val="1"/>
        <c:lblAlgn val="ctr"/>
        <c:lblOffset val="100"/>
        <c:noMultiLvlLbl val="0"/>
      </c:catAx>
      <c:valAx>
        <c:axId val="1883180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83162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31. Relação entre ser Estudante Deslocado e Possibilidade de Emigrar
</a:t>
            </a:r>
          </a:p>
        </c:rich>
      </c:tx>
      <c:layout>
        <c:manualLayout>
          <c:xMode val="edge"/>
          <c:yMode val="edge"/>
          <c:x val="0.17216510766105378"/>
          <c:y val="3.240734738391493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351706036742"/>
          <c:y val="0.26228018372703427"/>
          <c:w val="0.85658092738407732"/>
          <c:h val="0.3767038495188103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Folha34!$C$1</c:f>
              <c:strCache>
                <c:ptCount val="1"/>
                <c:pt idx="0">
                  <c:v>% qt. ao total de respostas no segmento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206116480502405E-2"/>
                  <c:y val="-0.153200276079819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09068392961691E-2"/>
                  <c:y val="-0.102299407707092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09068392961691E-2"/>
                  <c:y val="-0.169016412733456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51511398826959E-2"/>
                  <c:y val="-0.120090609047456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Folha34!$A$2:$B$5</c:f>
              <c:multiLvlStrCache>
                <c:ptCount val="4"/>
                <c:lvl>
                  <c:pt idx="0">
                    <c:v>Sim</c:v>
                  </c:pt>
                  <c:pt idx="1">
                    <c:v>Não</c:v>
                  </c:pt>
                  <c:pt idx="2">
                    <c:v>Sim</c:v>
                  </c:pt>
                  <c:pt idx="3">
                    <c:v>Não</c:v>
                  </c:pt>
                </c:lvl>
                <c:lvl>
                  <c:pt idx="0">
                    <c:v>Deslocado</c:v>
                  </c:pt>
                  <c:pt idx="2">
                    <c:v>Não-Deslocado</c:v>
                  </c:pt>
                </c:lvl>
              </c:multiLvlStrCache>
            </c:multiLvlStrRef>
          </c:cat>
          <c:val>
            <c:numRef>
              <c:f>Folha34!$C$2:$C$5</c:f>
              <c:numCache>
                <c:formatCode>0.0%</c:formatCode>
                <c:ptCount val="4"/>
                <c:pt idx="0">
                  <c:v>0.68238434163701056</c:v>
                </c:pt>
                <c:pt idx="1">
                  <c:v>0.31761565836298938</c:v>
                </c:pt>
                <c:pt idx="2">
                  <c:v>0.70494417862838976</c:v>
                </c:pt>
                <c:pt idx="3">
                  <c:v>0.29505582137161102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88343040"/>
        <c:axId val="188344576"/>
        <c:axId val="0"/>
      </c:bar3DChart>
      <c:catAx>
        <c:axId val="188343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8344576"/>
        <c:crosses val="autoZero"/>
        <c:auto val="1"/>
        <c:lblAlgn val="ctr"/>
        <c:lblOffset val="100"/>
        <c:noMultiLvlLbl val="0"/>
      </c:catAx>
      <c:valAx>
        <c:axId val="188344576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1883430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810146794005819"/>
          <c:y val="0.92793859130653633"/>
          <c:w val="0.55869601408798331"/>
          <c:h val="7.206140869346369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200"/>
            </a:pPr>
            <a:r>
              <a:rPr lang="en-US" sz="1200"/>
              <a:t>Gráfico 32. Relação entre Realização de Programas de Mobilidade Internacional e Possibilidade de Emigrar</a:t>
            </a:r>
            <a:endParaRPr lang="pt-PT" sz="1200"/>
          </a:p>
          <a:p>
            <a:pPr algn="ctr" rtl="0">
              <a:defRPr sz="1200"/>
            </a:pPr>
            <a:r>
              <a:rPr lang="en-US" sz="1200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'CV2'!$F$14</c:f>
              <c:strCache>
                <c:ptCount val="1"/>
                <c:pt idx="0">
                  <c:v>bla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239877717995026E-2"/>
                  <c:y val="-9.7222310774522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223787720651182E-2"/>
                  <c:y val="-8.4282404683753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035922313799876E-2"/>
                  <c:y val="-0.278611103221906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002294762431858E-2"/>
                  <c:y val="-0.155624903276737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'CV2'!$D$15:$E$18</c:f>
              <c:multiLvlStrCache>
                <c:ptCount val="4"/>
                <c:lvl>
                  <c:pt idx="0">
                    <c:v>Considera Emigrar</c:v>
                  </c:pt>
                  <c:pt idx="1">
                    <c:v>Não considera emigrar</c:v>
                  </c:pt>
                  <c:pt idx="2">
                    <c:v>Considera Emigrar</c:v>
                  </c:pt>
                  <c:pt idx="3">
                    <c:v>Não considera emigrar</c:v>
                  </c:pt>
                </c:lvl>
                <c:lvl>
                  <c:pt idx="0">
                    <c:v>Realizou programas de mobilidade profissional</c:v>
                  </c:pt>
                  <c:pt idx="2">
                    <c:v>Não realizou programas de mobilidade internacional</c:v>
                  </c:pt>
                </c:lvl>
              </c:multiLvlStrCache>
            </c:multiLvlStrRef>
          </c:cat>
          <c:val>
            <c:numRef>
              <c:f>'CV2'!$F$15:$F$18</c:f>
              <c:numCache>
                <c:formatCode>0.0%</c:formatCode>
                <c:ptCount val="4"/>
                <c:pt idx="0">
                  <c:v>9.2518560822387214E-2</c:v>
                </c:pt>
                <c:pt idx="1">
                  <c:v>4.2832667047401504E-2</c:v>
                </c:pt>
                <c:pt idx="2">
                  <c:v>0.59680182752712752</c:v>
                </c:pt>
                <c:pt idx="3">
                  <c:v>0.26499143346659049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88369920"/>
        <c:axId val="188371712"/>
        <c:axId val="0"/>
      </c:bar3DChart>
      <c:catAx>
        <c:axId val="188369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8371712"/>
        <c:crosses val="autoZero"/>
        <c:auto val="1"/>
        <c:lblAlgn val="ctr"/>
        <c:lblOffset val="100"/>
        <c:noMultiLvlLbl val="0"/>
      </c:catAx>
      <c:valAx>
        <c:axId val="188371712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1883699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33. Relação entre Realização de Programas de Mobilidade Internacional e Possibilidade de Emigrar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604040007844699E-2"/>
          <c:y val="0.17784483977437274"/>
          <c:w val="0.88320072732467547"/>
          <c:h val="0.5196294472585567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'CV2'!$F$32</c:f>
              <c:strCache>
                <c:ptCount val="1"/>
                <c:pt idx="0">
                  <c:v>% qt. ao total de respostas no segmento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862944451685925E-2"/>
                  <c:y val="-0.26809653902542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009524562501916E-2"/>
                  <c:y val="-0.157283199392232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095782681564645E-2"/>
                  <c:y val="-0.262214740128043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034744851842907E-2"/>
                  <c:y val="-0.16685357526741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'CV2'!$D$33:$E$36</c:f>
              <c:multiLvlStrCache>
                <c:ptCount val="4"/>
                <c:lvl>
                  <c:pt idx="0">
                    <c:v>Considera Emigrar</c:v>
                  </c:pt>
                  <c:pt idx="1">
                    <c:v>Não considera emigrar</c:v>
                  </c:pt>
                  <c:pt idx="2">
                    <c:v>Considera Emigrar</c:v>
                  </c:pt>
                  <c:pt idx="3">
                    <c:v>Não considera emigrar</c:v>
                  </c:pt>
                </c:lvl>
                <c:lvl>
                  <c:pt idx="0">
                    <c:v>Realizou programas de mobilidade profissional</c:v>
                  </c:pt>
                  <c:pt idx="2">
                    <c:v>Não realizou programas de mobilidade internacional</c:v>
                  </c:pt>
                </c:lvl>
              </c:multiLvlStrCache>
            </c:multiLvlStrRef>
          </c:cat>
          <c:val>
            <c:numRef>
              <c:f>'CV2'!$F$33:$F$36</c:f>
              <c:numCache>
                <c:formatCode>0.0%</c:formatCode>
                <c:ptCount val="4"/>
                <c:pt idx="0">
                  <c:v>0.68354430379746822</c:v>
                </c:pt>
                <c:pt idx="1">
                  <c:v>0.31645569620253172</c:v>
                </c:pt>
                <c:pt idx="2">
                  <c:v>0.69251159708416166</c:v>
                </c:pt>
                <c:pt idx="3">
                  <c:v>0.30748840291583845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88425344"/>
        <c:axId val="188426880"/>
        <c:axId val="0"/>
      </c:bar3DChart>
      <c:catAx>
        <c:axId val="188425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8426880"/>
        <c:crosses val="autoZero"/>
        <c:auto val="1"/>
        <c:lblAlgn val="ctr"/>
        <c:lblOffset val="100"/>
        <c:noMultiLvlLbl val="0"/>
      </c:catAx>
      <c:valAx>
        <c:axId val="18842688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188425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799149768284608"/>
          <c:y val="0.95407637566713954"/>
          <c:w val="0.47306563467503282"/>
          <c:h val="4.248371255855018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4. Área de Estudos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85604800998639"/>
          <c:y val="0.13973495531763991"/>
          <c:w val="0.8851439519900135"/>
          <c:h val="0.463999784670694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Folha21!$B$13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1448196908986834E-2"/>
                  <c:y val="-1.554001554001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737687687552338E-2"/>
                  <c:y val="-3.8844917326087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Folha21!$A$14:$A$18</c:f>
              <c:strCache>
                <c:ptCount val="5"/>
                <c:pt idx="0">
                  <c:v>Ciências da Saúde</c:v>
                </c:pt>
                <c:pt idx="1">
                  <c:v>Ciências Naturais ou Exatas</c:v>
                </c:pt>
                <c:pt idx="2">
                  <c:v>Engenharia e Tecnologias</c:v>
                </c:pt>
                <c:pt idx="3">
                  <c:v>Humanidades, C. Sociais ou Jurídico-Económicas</c:v>
                </c:pt>
                <c:pt idx="4">
                  <c:v>Arquitetura e Artes</c:v>
                </c:pt>
              </c:strCache>
            </c:strRef>
          </c:cat>
          <c:val>
            <c:numRef>
              <c:f>Folha21!$B$14:$B$18</c:f>
              <c:numCache>
                <c:formatCode>0.00%</c:formatCode>
                <c:ptCount val="5"/>
                <c:pt idx="0">
                  <c:v>0.17700000000000021</c:v>
                </c:pt>
                <c:pt idx="1">
                  <c:v>0.115</c:v>
                </c:pt>
                <c:pt idx="2">
                  <c:v>0.29700000000000032</c:v>
                </c:pt>
                <c:pt idx="3">
                  <c:v>0.38700000000000057</c:v>
                </c:pt>
                <c:pt idx="4">
                  <c:v>2.3E-2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79328"/>
        <c:axId val="165780864"/>
        <c:axId val="0"/>
      </c:bar3DChart>
      <c:catAx>
        <c:axId val="16577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5780864"/>
        <c:crosses val="autoZero"/>
        <c:auto val="1"/>
        <c:lblAlgn val="ctr"/>
        <c:lblOffset val="100"/>
        <c:noMultiLvlLbl val="0"/>
      </c:catAx>
      <c:valAx>
        <c:axId val="1657808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57793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t-PT" sz="1200"/>
              <a:t>Gráfico 5. Estudante Deslocado?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6468145216992188E-2"/>
                  <c:y val="-8.91488563929508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4544780680419022E-2"/>
                  <c:y val="-7.65750497674886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'6'!$A$2:$A$3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'6'!$B$2:$B$3</c:f>
              <c:numCache>
                <c:formatCode>General</c:formatCode>
                <c:ptCount val="2"/>
                <c:pt idx="0">
                  <c:v>1124</c:v>
                </c:pt>
                <c:pt idx="1">
                  <c:v>627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1" i="0" u="none" strike="noStrike" baseline="0">
          <a:solidFill>
            <a:srgbClr val="000000"/>
          </a:solidFill>
          <a:latin typeface="National Bold" pitchFamily="50" charset="0"/>
          <a:ea typeface="National Bold" pitchFamily="50" charset="0"/>
          <a:cs typeface="Calibri"/>
        </a:defRPr>
      </a:pPr>
      <a:endParaRPr lang="pt-P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Gráfico 6. Distrito de que é natural? (caso tenha respondido SIM na questão anterior)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Folha22!$B$1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8"/>
              <c:layout>
                <c:manualLayout>
                  <c:x val="0"/>
                  <c:y val="9.4996833438885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4.5229563182138379E-3"/>
                  <c:y val="-2.2162485169956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Folha22!$A$2:$A$22</c:f>
              <c:strCache>
                <c:ptCount val="21"/>
                <c:pt idx="0">
                  <c:v>Aveiro</c:v>
                </c:pt>
                <c:pt idx="1">
                  <c:v>Beja</c:v>
                </c:pt>
                <c:pt idx="2">
                  <c:v>Braga</c:v>
                </c:pt>
                <c:pt idx="3">
                  <c:v>Bragança</c:v>
                </c:pt>
                <c:pt idx="4">
                  <c:v>Castelo Branco</c:v>
                </c:pt>
                <c:pt idx="5">
                  <c:v>Coimbra</c:v>
                </c:pt>
                <c:pt idx="6">
                  <c:v>Évora</c:v>
                </c:pt>
                <c:pt idx="7">
                  <c:v>Faro</c:v>
                </c:pt>
                <c:pt idx="8">
                  <c:v>Guarda</c:v>
                </c:pt>
                <c:pt idx="9">
                  <c:v>Leiria</c:v>
                </c:pt>
                <c:pt idx="10">
                  <c:v>Lisboa</c:v>
                </c:pt>
                <c:pt idx="11">
                  <c:v>Portalegre</c:v>
                </c:pt>
                <c:pt idx="12">
                  <c:v>Porto</c:v>
                </c:pt>
                <c:pt idx="13">
                  <c:v>Santarém</c:v>
                </c:pt>
                <c:pt idx="14">
                  <c:v>Setúbal</c:v>
                </c:pt>
                <c:pt idx="15">
                  <c:v>Viana do Castelo</c:v>
                </c:pt>
                <c:pt idx="16">
                  <c:v>Vila Real</c:v>
                </c:pt>
                <c:pt idx="17">
                  <c:v>Viseu</c:v>
                </c:pt>
                <c:pt idx="18">
                  <c:v>R.A. Açores</c:v>
                </c:pt>
                <c:pt idx="19">
                  <c:v>R.A. Madeira</c:v>
                </c:pt>
                <c:pt idx="20">
                  <c:v>NS/NR</c:v>
                </c:pt>
              </c:strCache>
            </c:strRef>
          </c:cat>
          <c:val>
            <c:numRef>
              <c:f>Folha22!$B$2:$B$22</c:f>
              <c:numCache>
                <c:formatCode>0.00%</c:formatCode>
                <c:ptCount val="21"/>
                <c:pt idx="0">
                  <c:v>0.14600000000000021</c:v>
                </c:pt>
                <c:pt idx="1">
                  <c:v>3.0000000000000044E-3</c:v>
                </c:pt>
                <c:pt idx="2">
                  <c:v>0.112</c:v>
                </c:pt>
                <c:pt idx="3">
                  <c:v>2.8000000000000001E-2</c:v>
                </c:pt>
                <c:pt idx="4">
                  <c:v>3.6999999999999998E-2</c:v>
                </c:pt>
                <c:pt idx="5">
                  <c:v>5.5000000000000014E-2</c:v>
                </c:pt>
                <c:pt idx="6">
                  <c:v>4.0000000000000079E-3</c:v>
                </c:pt>
                <c:pt idx="7">
                  <c:v>1.6000000000000021E-2</c:v>
                </c:pt>
                <c:pt idx="8">
                  <c:v>1.2E-2</c:v>
                </c:pt>
                <c:pt idx="9">
                  <c:v>9.3000000000000208E-2</c:v>
                </c:pt>
                <c:pt idx="10">
                  <c:v>1.0999999999999998E-2</c:v>
                </c:pt>
                <c:pt idx="11" formatCode="0%">
                  <c:v>3.0000000000000002E-2</c:v>
                </c:pt>
                <c:pt idx="12">
                  <c:v>0.13300000000000001</c:v>
                </c:pt>
                <c:pt idx="13">
                  <c:v>2.3E-2</c:v>
                </c:pt>
                <c:pt idx="14" formatCode="0%">
                  <c:v>1.0000000000000005E-2</c:v>
                </c:pt>
                <c:pt idx="15">
                  <c:v>3.5999999999999997E-2</c:v>
                </c:pt>
                <c:pt idx="16" formatCode="0%">
                  <c:v>4.0000000000000022E-2</c:v>
                </c:pt>
                <c:pt idx="17">
                  <c:v>9.7000000000000003E-2</c:v>
                </c:pt>
                <c:pt idx="18">
                  <c:v>1.4999999999999998E-2</c:v>
                </c:pt>
                <c:pt idx="19">
                  <c:v>1.9000000000000031E-2</c:v>
                </c:pt>
                <c:pt idx="20">
                  <c:v>8.1000000000000003E-2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192256"/>
        <c:axId val="168194048"/>
        <c:axId val="0"/>
      </c:bar3DChart>
      <c:catAx>
        <c:axId val="16819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194048"/>
        <c:crosses val="autoZero"/>
        <c:auto val="1"/>
        <c:lblAlgn val="ctr"/>
        <c:lblOffset val="100"/>
        <c:noMultiLvlLbl val="0"/>
      </c:catAx>
      <c:valAx>
        <c:axId val="1681940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81922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National Bold" pitchFamily="50" charset="0"/>
          <a:ea typeface="National Bold" pitchFamily="50" charset="0"/>
        </a:defRPr>
      </a:pPr>
      <a:endParaRPr lang="pt-P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t-PT" sz="1200">
                <a:latin typeface="National Bold" pitchFamily="50" charset="0"/>
                <a:ea typeface="National Bold" pitchFamily="50" charset="0"/>
              </a:rPr>
              <a:t>Gráfico 7. Já realizaste programas de mobilidade internacional?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8.020836953954609E-2"/>
                  <c:y val="0.107135462233887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4994318409689453E-2"/>
                  <c:y val="-9.97371682706328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National Bold" pitchFamily="50" charset="0"/>
                    <a:ea typeface="National Bold" pitchFamily="50" charset="0"/>
                    <a:cs typeface="Calibri"/>
                  </a:defRPr>
                </a:pPr>
                <a:endParaRPr lang="pt-P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'7'!$A$2:$A$3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'7'!$C$2:$C$3</c:f>
              <c:numCache>
                <c:formatCode>0.0%</c:formatCode>
                <c:ptCount val="2"/>
                <c:pt idx="0">
                  <c:v>0.13592233009708773</c:v>
                </c:pt>
                <c:pt idx="1">
                  <c:v>0.86407766990291257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PT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t-PT" sz="1200"/>
              <a:t>Gráfico 8. Razões pelas quais não realizaste programas de mobilidade internacional </a:t>
            </a:r>
          </a:p>
          <a:p>
            <a:pPr>
              <a:defRPr sz="1200"/>
            </a:pPr>
            <a:r>
              <a:rPr lang="pt-PT" sz="1200"/>
              <a:t>(caso tenha respondido NÃO na questão anterior)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944421160763817E-2"/>
          <c:y val="0.30793768653962977"/>
          <c:w val="0.82517098643344156"/>
          <c:h val="0.63511578128139845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4.5531485729638124E-2"/>
                  <c:y val="1.6237007874015746E-2"/>
                </c:manualLayout>
              </c:layout>
              <c:tx>
                <c:rich>
                  <a:bodyPr/>
                  <a:lstStyle/>
                  <a:p>
                    <a:r>
                      <a:rPr lang="pt-PT"/>
                      <a:t>Questão de oportunidade ou Timing
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'7'!$A$8:$A$11</c:f>
              <c:strCache>
                <c:ptCount val="4"/>
                <c:pt idx="0">
                  <c:v>Dificuldades sócio-económicas</c:v>
                </c:pt>
                <c:pt idx="1">
                  <c:v>Vontade Pessoal</c:v>
                </c:pt>
                <c:pt idx="2">
                  <c:v>Questão de oportunidade/Timing</c:v>
                </c:pt>
                <c:pt idx="3">
                  <c:v>Outras respostas</c:v>
                </c:pt>
              </c:strCache>
            </c:strRef>
          </c:cat>
          <c:val>
            <c:numRef>
              <c:f>'7'!$C$8:$C$11</c:f>
              <c:numCache>
                <c:formatCode>0.0%</c:formatCode>
                <c:ptCount val="4"/>
                <c:pt idx="0">
                  <c:v>0.46133509583608728</c:v>
                </c:pt>
                <c:pt idx="1">
                  <c:v>0.38929279576999426</c:v>
                </c:pt>
                <c:pt idx="2">
                  <c:v>4.2300066093853304E-2</c:v>
                </c:pt>
                <c:pt idx="3">
                  <c:v>0.10707204230006609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1" i="0" u="none" strike="noStrike" baseline="0">
          <a:solidFill>
            <a:srgbClr val="000000"/>
          </a:solidFill>
          <a:latin typeface="National Bold" pitchFamily="50" charset="0"/>
          <a:ea typeface="National Bold" pitchFamily="50" charset="0"/>
          <a:cs typeface="Calibri"/>
        </a:defRPr>
      </a:pPr>
      <a:endParaRPr lang="pt-PT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t-PT" sz="1200"/>
              <a:t>Gráfico 9. Consideras emigrar?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01209311452895E-2"/>
          <c:y val="0.26299840725037577"/>
          <c:w val="0.95475085240513158"/>
          <c:h val="0.72357583507189804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19"/>
          </c:dPt>
          <c:dLbls>
            <c:dLbl>
              <c:idx val="0"/>
              <c:layout>
                <c:manualLayout>
                  <c:x val="4.1929919016533188E-2"/>
                  <c:y val="-0.122873230589766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7701056598694396E-2"/>
                  <c:y val="3.21847589564124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pt-P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'8'!$A$2:$A$3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'8'!$C$2:$C$3</c:f>
              <c:numCache>
                <c:formatCode>0.0%</c:formatCode>
                <c:ptCount val="2"/>
                <c:pt idx="0">
                  <c:v>0.69046259280411149</c:v>
                </c:pt>
                <c:pt idx="1">
                  <c:v>0.30953740719588874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1" i="0" u="none" strike="noStrike" baseline="0">
          <a:solidFill>
            <a:srgbClr val="000000"/>
          </a:solidFill>
          <a:latin typeface="National Bold" pitchFamily="50" charset="0"/>
          <a:ea typeface="National Bold" pitchFamily="50" charset="0"/>
          <a:cs typeface="Calibri"/>
        </a:defRPr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F8843-B4D2-4EEB-86D2-86F0CE40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26</Pages>
  <Words>2004</Words>
  <Characters>10827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12agosto2012 Mobilidade Profissional e a Internacionalização do Emprego Jovem (relatório)</vt:lpstr>
      <vt:lpstr/>
    </vt:vector>
  </TitlesOfParts>
  <Company>FAP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12agosto2012 Mobilidade Profissional e a Internacionalização do Emprego Jovem (relatório)</dc:title>
  <dc:subject>Empregabilidade; Juventude, Mobilidade;</dc:subject>
  <dc:creator>Cláudio Carvalho; Sofia Pais</dc:creator>
  <cp:keywords>Emprego; Juventude; FAP; Relatório</cp:keywords>
  <dc:description>Relatório sobre os resultados do Inquérito de Mobilidade Profissional</dc:description>
  <cp:lastModifiedBy>Carvalho</cp:lastModifiedBy>
  <cp:revision>41</cp:revision>
  <cp:lastPrinted>2012-08-10T16:07:00Z</cp:lastPrinted>
  <dcterms:created xsi:type="dcterms:W3CDTF">2012-08-08T17:13:00Z</dcterms:created>
  <dcterms:modified xsi:type="dcterms:W3CDTF">2012-08-13T15:21:00Z</dcterms:modified>
  <cp:category>Empregabilidade; Juventude, Mobilidade</cp:category>
  <dc:language>Português (Portugal)</dc:language>
  <cp:version>1.0</cp:version>
</cp:coreProperties>
</file>